
<file path=[Content_Types].xml><?xml version="1.0" encoding="utf-8"?>
<Types xmlns="http://schemas.openxmlformats.org/package/2006/content-types">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D1A" w:rsidRPr="00BE757D" w:rsidRDefault="00925BEE">
      <w:pPr>
        <w:spacing w:before="10" w:line="259" w:lineRule="exact"/>
        <w:jc w:val="center"/>
        <w:textAlignment w:val="baseline"/>
        <w:rPr>
          <w:rFonts w:ascii="Arial" w:eastAsia="Verdana" w:hAnsi="Arial" w:cs="Arial"/>
          <w:b/>
          <w:color w:val="000000"/>
          <w:sz w:val="20"/>
          <w:szCs w:val="20"/>
          <w:lang w:val="nl-NL"/>
        </w:rPr>
      </w:pPr>
      <w:r w:rsidRPr="00BE757D">
        <w:rPr>
          <w:rFonts w:ascii="Arial" w:eastAsia="Verdana" w:hAnsi="Arial" w:cs="Arial"/>
          <w:b/>
          <w:color w:val="000000"/>
          <w:sz w:val="20"/>
          <w:szCs w:val="20"/>
          <w:lang w:val="nl-NL"/>
        </w:rPr>
        <w:t>CONVENANT INZAKE VERJARING</w:t>
      </w:r>
    </w:p>
    <w:p w:rsidR="00387D1A" w:rsidRPr="00BE757D" w:rsidRDefault="00925BEE">
      <w:pPr>
        <w:spacing w:before="10" w:line="259" w:lineRule="exact"/>
        <w:jc w:val="center"/>
        <w:textAlignment w:val="baseline"/>
        <w:rPr>
          <w:rFonts w:ascii="Arial" w:eastAsia="Verdana" w:hAnsi="Arial" w:cs="Arial"/>
          <w:b/>
          <w:color w:val="000000"/>
          <w:sz w:val="20"/>
          <w:szCs w:val="20"/>
          <w:lang w:val="nl-NL"/>
        </w:rPr>
      </w:pPr>
      <w:r w:rsidRPr="00BE757D">
        <w:rPr>
          <w:rFonts w:ascii="Arial" w:eastAsia="Verdana" w:hAnsi="Arial" w:cs="Arial"/>
          <w:b/>
          <w:color w:val="000000"/>
          <w:sz w:val="20"/>
          <w:szCs w:val="20"/>
          <w:lang w:val="nl-NL"/>
        </w:rPr>
        <w:t>EN DE REGELING VAN ENKELE DISCUSSIEPUNTEN</w:t>
      </w:r>
    </w:p>
    <w:p w:rsidR="00387D1A" w:rsidRPr="00BE757D" w:rsidRDefault="00925BEE">
      <w:pPr>
        <w:spacing w:before="441" w:line="211" w:lineRule="exact"/>
        <w:jc w:val="center"/>
        <w:textAlignment w:val="baseline"/>
        <w:rPr>
          <w:rFonts w:ascii="Arial" w:eastAsia="Verdana" w:hAnsi="Arial" w:cs="Arial"/>
          <w:color w:val="000000"/>
          <w:spacing w:val="18"/>
          <w:sz w:val="20"/>
          <w:szCs w:val="20"/>
          <w:lang w:val="nl-NL"/>
        </w:rPr>
      </w:pPr>
      <w:r w:rsidRPr="00BE757D">
        <w:rPr>
          <w:rFonts w:ascii="Arial" w:eastAsia="Verdana" w:hAnsi="Arial" w:cs="Arial"/>
          <w:color w:val="000000"/>
          <w:spacing w:val="18"/>
          <w:sz w:val="20"/>
          <w:szCs w:val="20"/>
          <w:lang w:val="nl-NL"/>
        </w:rPr>
        <w:t>tussen</w:t>
      </w:r>
    </w:p>
    <w:p w:rsidR="00387D1A" w:rsidRPr="00BE757D" w:rsidRDefault="00925BEE">
      <w:pPr>
        <w:spacing w:before="447" w:line="259" w:lineRule="exact"/>
        <w:jc w:val="center"/>
        <w:textAlignment w:val="baseline"/>
        <w:rPr>
          <w:rFonts w:ascii="Arial" w:eastAsia="Verdana" w:hAnsi="Arial" w:cs="Arial"/>
          <w:b/>
          <w:color w:val="000000"/>
          <w:sz w:val="20"/>
          <w:szCs w:val="20"/>
          <w:lang w:val="nl-NL"/>
        </w:rPr>
      </w:pPr>
      <w:r w:rsidRPr="00BE757D">
        <w:rPr>
          <w:rFonts w:ascii="Arial" w:eastAsia="Verdana" w:hAnsi="Arial" w:cs="Arial"/>
          <w:b/>
          <w:color w:val="000000"/>
          <w:sz w:val="20"/>
          <w:szCs w:val="20"/>
          <w:lang w:val="nl-NL"/>
        </w:rPr>
        <w:t>Verbond van Verzekeraars</w:t>
      </w:r>
    </w:p>
    <w:p w:rsidR="00387D1A" w:rsidRPr="00BE757D" w:rsidRDefault="00925BEE">
      <w:pPr>
        <w:spacing w:before="226" w:line="211" w:lineRule="exact"/>
        <w:jc w:val="center"/>
        <w:textAlignment w:val="baseline"/>
        <w:rPr>
          <w:rFonts w:ascii="Arial" w:eastAsia="Verdana" w:hAnsi="Arial" w:cs="Arial"/>
          <w:color w:val="000000"/>
          <w:spacing w:val="-2"/>
          <w:sz w:val="20"/>
          <w:szCs w:val="20"/>
          <w:lang w:val="nl-NL"/>
        </w:rPr>
      </w:pPr>
      <w:r w:rsidRPr="00BE757D">
        <w:rPr>
          <w:rFonts w:ascii="Arial" w:eastAsia="Verdana" w:hAnsi="Arial" w:cs="Arial"/>
          <w:color w:val="000000"/>
          <w:spacing w:val="-2"/>
          <w:sz w:val="20"/>
          <w:szCs w:val="20"/>
          <w:lang w:val="nl-NL"/>
        </w:rPr>
        <w:t>en</w:t>
      </w:r>
    </w:p>
    <w:p w:rsidR="00387D1A" w:rsidRPr="00BE757D" w:rsidRDefault="00925BEE">
      <w:pPr>
        <w:spacing w:before="231" w:line="259" w:lineRule="exact"/>
        <w:jc w:val="center"/>
        <w:textAlignment w:val="baseline"/>
        <w:rPr>
          <w:rFonts w:ascii="Arial" w:eastAsia="Verdana" w:hAnsi="Arial" w:cs="Arial"/>
          <w:b/>
          <w:color w:val="000000"/>
          <w:sz w:val="20"/>
          <w:szCs w:val="20"/>
          <w:lang w:val="nl-NL"/>
        </w:rPr>
      </w:pPr>
      <w:r w:rsidRPr="00BE757D">
        <w:rPr>
          <w:rFonts w:ascii="Arial" w:eastAsia="Verdana" w:hAnsi="Arial" w:cs="Arial"/>
          <w:b/>
          <w:color w:val="000000"/>
          <w:sz w:val="20"/>
          <w:szCs w:val="20"/>
          <w:lang w:val="nl-NL"/>
        </w:rPr>
        <w:t>Uitvoeringsinstituut werknemersverzekeringen</w:t>
      </w:r>
    </w:p>
    <w:p w:rsidR="00BE757D" w:rsidRPr="00BE757D" w:rsidRDefault="00BE757D">
      <w:pPr>
        <w:spacing w:before="8" w:line="233" w:lineRule="exact"/>
        <w:textAlignment w:val="baseline"/>
        <w:rPr>
          <w:rFonts w:ascii="Arial" w:eastAsia="Arial" w:hAnsi="Arial" w:cs="Arial"/>
          <w:color w:val="000000"/>
          <w:spacing w:val="-5"/>
          <w:sz w:val="20"/>
          <w:szCs w:val="20"/>
          <w:lang w:val="nl-NL"/>
        </w:rPr>
      </w:pPr>
    </w:p>
    <w:p w:rsidR="00387D1A" w:rsidRPr="00BE757D" w:rsidRDefault="00925BEE">
      <w:pPr>
        <w:spacing w:before="8" w:line="233" w:lineRule="exact"/>
        <w:textAlignment w:val="baseline"/>
        <w:rPr>
          <w:rFonts w:ascii="Arial" w:eastAsia="Arial" w:hAnsi="Arial" w:cs="Arial"/>
          <w:color w:val="000000"/>
          <w:spacing w:val="-5"/>
          <w:sz w:val="20"/>
          <w:szCs w:val="20"/>
          <w:lang w:val="nl-NL"/>
        </w:rPr>
      </w:pPr>
      <w:r w:rsidRPr="00BE757D">
        <w:rPr>
          <w:rFonts w:ascii="Arial" w:eastAsia="Arial" w:hAnsi="Arial" w:cs="Arial"/>
          <w:color w:val="000000"/>
          <w:spacing w:val="-5"/>
          <w:sz w:val="20"/>
          <w:szCs w:val="20"/>
          <w:lang w:val="nl-NL"/>
        </w:rPr>
        <w:t>Partijen:</w:t>
      </w:r>
    </w:p>
    <w:p w:rsidR="00387D1A" w:rsidRPr="00BE757D" w:rsidRDefault="00925BEE">
      <w:pPr>
        <w:spacing w:before="264" w:line="264"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Verbond van Verzekeraars te Den Haag, vertegenwoordigd door R.R. </w:t>
      </w:r>
      <w:proofErr w:type="spellStart"/>
      <w:r w:rsidRPr="00BE757D">
        <w:rPr>
          <w:rFonts w:ascii="Arial" w:eastAsia="Arial" w:hAnsi="Arial" w:cs="Arial"/>
          <w:color w:val="000000"/>
          <w:sz w:val="20"/>
          <w:szCs w:val="20"/>
          <w:lang w:val="nl-NL"/>
        </w:rPr>
        <w:t>Latenstein</w:t>
      </w:r>
      <w:proofErr w:type="spellEnd"/>
      <w:r w:rsidRPr="00BE757D">
        <w:rPr>
          <w:rFonts w:ascii="Arial" w:eastAsia="Arial" w:hAnsi="Arial" w:cs="Arial"/>
          <w:color w:val="000000"/>
          <w:sz w:val="20"/>
          <w:szCs w:val="20"/>
          <w:lang w:val="nl-NL"/>
        </w:rPr>
        <w:t xml:space="preserve"> van Voorst, MBA, en mr. R. </w:t>
      </w:r>
      <w:proofErr w:type="spellStart"/>
      <w:r w:rsidRPr="00BE757D">
        <w:rPr>
          <w:rFonts w:ascii="Arial" w:eastAsia="Arial" w:hAnsi="Arial" w:cs="Arial"/>
          <w:color w:val="000000"/>
          <w:sz w:val="20"/>
          <w:szCs w:val="20"/>
          <w:lang w:val="nl-NL"/>
        </w:rPr>
        <w:t>Weurding</w:t>
      </w:r>
      <w:proofErr w:type="spellEnd"/>
      <w:r w:rsidRPr="00BE757D">
        <w:rPr>
          <w:rFonts w:ascii="Arial" w:eastAsia="Arial" w:hAnsi="Arial" w:cs="Arial"/>
          <w:color w:val="000000"/>
          <w:sz w:val="20"/>
          <w:szCs w:val="20"/>
          <w:lang w:val="nl-NL"/>
        </w:rPr>
        <w:t>, algemeen directeur, verder te noemen: het Verbond</w:t>
      </w:r>
    </w:p>
    <w:p w:rsidR="00387D1A" w:rsidRPr="00BE757D" w:rsidRDefault="00925BEE">
      <w:pPr>
        <w:spacing w:before="295" w:line="233" w:lineRule="exact"/>
        <w:textAlignment w:val="baseline"/>
        <w:rPr>
          <w:rFonts w:ascii="Arial" w:eastAsia="Arial" w:hAnsi="Arial" w:cs="Arial"/>
          <w:color w:val="000000"/>
          <w:spacing w:val="-7"/>
          <w:sz w:val="20"/>
          <w:szCs w:val="20"/>
          <w:lang w:val="nl-NL"/>
        </w:rPr>
      </w:pPr>
      <w:r w:rsidRPr="00BE757D">
        <w:rPr>
          <w:rFonts w:ascii="Arial" w:eastAsia="Arial" w:hAnsi="Arial" w:cs="Arial"/>
          <w:color w:val="000000"/>
          <w:spacing w:val="-7"/>
          <w:sz w:val="20"/>
          <w:szCs w:val="20"/>
          <w:lang w:val="nl-NL"/>
        </w:rPr>
        <w:t>en</w:t>
      </w:r>
    </w:p>
    <w:p w:rsidR="00387D1A" w:rsidRPr="00BE757D" w:rsidRDefault="00925BEE">
      <w:pPr>
        <w:spacing w:before="264" w:line="264" w:lineRule="exact"/>
        <w:ind w:right="864"/>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Uitvoeringsinstituut werknemersverzekeringen te Amsterdam, vertegenwoordigd door mr. drs. </w:t>
      </w:r>
      <w:r w:rsidRPr="00BE757D">
        <w:rPr>
          <w:rFonts w:ascii="Arial" w:eastAsia="Arial" w:hAnsi="Arial" w:cs="Arial"/>
          <w:color w:val="000000"/>
          <w:sz w:val="20"/>
          <w:szCs w:val="20"/>
          <w:lang w:val="nl-NL"/>
        </w:rPr>
        <w:t>B.J. Bruins, voorzitter Raad van Bestuur, verder te noemen: UWV</w:t>
      </w:r>
    </w:p>
    <w:p w:rsidR="00387D1A" w:rsidRPr="00BE757D" w:rsidRDefault="00925BEE">
      <w:pPr>
        <w:spacing w:before="526" w:line="220"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In aanmerking nemende dat:</w:t>
      </w:r>
    </w:p>
    <w:p w:rsidR="00387D1A" w:rsidRPr="00BE757D" w:rsidRDefault="00387D1A">
      <w:pPr>
        <w:spacing w:before="537" w:after="35" w:line="269" w:lineRule="exact"/>
        <w:jc w:val="both"/>
        <w:textAlignment w:val="baseline"/>
        <w:rPr>
          <w:rFonts w:ascii="Arial" w:eastAsia="Arial" w:hAnsi="Arial" w:cs="Arial"/>
          <w:color w:val="000000"/>
          <w:spacing w:val="-3"/>
          <w:sz w:val="20"/>
          <w:szCs w:val="20"/>
          <w:lang w:val="nl-NL"/>
        </w:rPr>
      </w:pPr>
      <w:r w:rsidRPr="00BE757D">
        <w:rPr>
          <w:rFonts w:ascii="Arial" w:eastAsia="Arial" w:hAnsi="Arial" w:cs="Arial"/>
          <w:color w:val="000000"/>
          <w:spacing w:val="-3"/>
          <w:sz w:val="20"/>
          <w:szCs w:val="20"/>
          <w:lang w:val="nl-NL"/>
        </w:rPr>
        <w:pict>
          <v:shapetype id="_x0000_t202" coordsize="21600,21600" o:spt="202" path="m,l,21600r21600,l21600,xe">
            <v:stroke joinstyle="miter"/>
            <v:path gradientshapeok="t" o:connecttype="rect"/>
          </v:shapetype>
          <v:shape id="_x0000_s1041" type="#_x0000_t202" style="position:absolute;left:0;text-align:left;margin-left:89.1pt;margin-top:292.5pt;width:16pt;height:233.35pt;z-index:-251653632;mso-wrap-distance-left:0;mso-wrap-distance-right:0;mso-position-horizontal-relative:page;mso-position-vertical-relative:page" filled="f" stroked="f">
            <v:textbox inset="0,0,0,0">
              <w:txbxContent>
                <w:p w:rsidR="00387D1A" w:rsidRDefault="00925BEE">
                  <w:pPr>
                    <w:spacing w:before="582" w:after="336" w:line="413" w:lineRule="exact"/>
                    <w:ind w:left="42" w:right="206"/>
                    <w:textAlignment w:val="baseline"/>
                  </w:pPr>
                  <w:r>
                    <w:rPr>
                      <w:noProof/>
                      <w:lang w:val="nl-NL" w:eastAsia="nl-NL"/>
                    </w:rPr>
                    <w:drawing>
                      <wp:inline distT="0" distB="0" distL="0" distR="0">
                        <wp:extent cx="45720" cy="262255"/>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5"/>
                                <a:stretch>
                                  <a:fillRect/>
                                </a:stretch>
                              </pic:blipFill>
                              <pic:spPr>
                                <a:xfrm>
                                  <a:off x="0" y="0"/>
                                  <a:ext cx="45720" cy="262255"/>
                                </a:xfrm>
                                <a:prstGeom prst="rect">
                                  <a:avLst/>
                                </a:prstGeom>
                              </pic:spPr>
                            </pic:pic>
                          </a:graphicData>
                        </a:graphic>
                      </wp:inline>
                    </w:drawing>
                  </w:r>
                </w:p>
                <w:p w:rsidR="00387D1A" w:rsidRDefault="00925BEE">
                  <w:pPr>
                    <w:spacing w:after="999" w:line="129" w:lineRule="exact"/>
                    <w:ind w:left="42" w:right="206"/>
                    <w:textAlignment w:val="baseline"/>
                  </w:pPr>
                  <w:r>
                    <w:rPr>
                      <w:noProof/>
                      <w:lang w:val="nl-NL" w:eastAsia="nl-NL"/>
                    </w:rPr>
                    <w:drawing>
                      <wp:inline distT="0" distB="0" distL="0" distR="0">
                        <wp:extent cx="45720" cy="81915"/>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6"/>
                                <a:stretch>
                                  <a:fillRect/>
                                </a:stretch>
                              </pic:blipFill>
                              <pic:spPr>
                                <a:xfrm>
                                  <a:off x="0" y="0"/>
                                  <a:ext cx="45720" cy="81915"/>
                                </a:xfrm>
                                <a:prstGeom prst="rect">
                                  <a:avLst/>
                                </a:prstGeom>
                              </pic:spPr>
                            </pic:pic>
                          </a:graphicData>
                        </a:graphic>
                      </wp:inline>
                    </w:drawing>
                  </w:r>
                </w:p>
                <w:p w:rsidR="00387D1A" w:rsidRDefault="00925BEE">
                  <w:pPr>
                    <w:spacing w:after="998" w:line="72" w:lineRule="exact"/>
                    <w:ind w:left="42" w:right="206"/>
                    <w:textAlignment w:val="baseline"/>
                  </w:pPr>
                  <w:r>
                    <w:rPr>
                      <w:noProof/>
                      <w:lang w:val="nl-NL" w:eastAsia="nl-NL"/>
                    </w:rPr>
                    <w:drawing>
                      <wp:inline distT="0" distB="0" distL="0" distR="0">
                        <wp:extent cx="45720" cy="45720"/>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7"/>
                                <a:stretch>
                                  <a:fillRect/>
                                </a:stretch>
                              </pic:blipFill>
                              <pic:spPr>
                                <a:xfrm>
                                  <a:off x="0" y="0"/>
                                  <a:ext cx="45720" cy="45720"/>
                                </a:xfrm>
                                <a:prstGeom prst="rect">
                                  <a:avLst/>
                                </a:prstGeom>
                              </pic:spPr>
                            </pic:pic>
                          </a:graphicData>
                        </a:graphic>
                      </wp:inline>
                    </w:drawing>
                  </w:r>
                </w:p>
                <w:p w:rsidR="00387D1A" w:rsidRDefault="00925BEE">
                  <w:pPr>
                    <w:spacing w:after="1048" w:line="72" w:lineRule="exact"/>
                    <w:ind w:left="42" w:right="206"/>
                    <w:textAlignment w:val="baseline"/>
                  </w:pPr>
                  <w:r>
                    <w:rPr>
                      <w:noProof/>
                      <w:lang w:val="nl-NL" w:eastAsia="nl-NL"/>
                    </w:rPr>
                    <w:drawing>
                      <wp:inline distT="0" distB="0" distL="0" distR="0">
                        <wp:extent cx="45720" cy="45720"/>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7"/>
                                <a:stretch>
                                  <a:fillRect/>
                                </a:stretch>
                              </pic:blipFill>
                              <pic:spPr>
                                <a:xfrm>
                                  <a:off x="0" y="0"/>
                                  <a:ext cx="45720" cy="45720"/>
                                </a:xfrm>
                                <a:prstGeom prst="rect">
                                  <a:avLst/>
                                </a:prstGeom>
                              </pic:spPr>
                            </pic:pic>
                          </a:graphicData>
                        </a:graphic>
                      </wp:inline>
                    </w:drawing>
                  </w:r>
                </w:p>
              </w:txbxContent>
            </v:textbox>
            <w10:wrap type="square" anchorx="page" anchory="page"/>
          </v:shape>
        </w:pict>
      </w:r>
      <w:r w:rsidR="00925BEE" w:rsidRPr="00BE757D">
        <w:rPr>
          <w:rFonts w:ascii="Arial" w:eastAsia="Arial" w:hAnsi="Arial" w:cs="Arial"/>
          <w:color w:val="000000"/>
          <w:spacing w:val="-3"/>
          <w:sz w:val="20"/>
          <w:szCs w:val="20"/>
          <w:lang w:val="nl-NL"/>
        </w:rPr>
        <w:t xml:space="preserve">het arrest van de Hoge </w:t>
      </w:r>
      <w:r w:rsidR="00925BEE" w:rsidRPr="00BE757D">
        <w:rPr>
          <w:rFonts w:ascii="Arial" w:eastAsia="Arial" w:hAnsi="Arial" w:cs="Arial"/>
          <w:color w:val="000000"/>
          <w:spacing w:val="-3"/>
          <w:sz w:val="20"/>
          <w:szCs w:val="20"/>
          <w:lang w:val="nl-NL"/>
        </w:rPr>
        <w:t xml:space="preserve">Raad </w:t>
      </w:r>
      <w:r w:rsidR="00925BEE" w:rsidRPr="00BE757D">
        <w:rPr>
          <w:rFonts w:ascii="Arial" w:eastAsia="Arial" w:hAnsi="Arial" w:cs="Arial"/>
          <w:color w:val="000000"/>
          <w:spacing w:val="-3"/>
          <w:sz w:val="20"/>
          <w:szCs w:val="20"/>
          <w:lang w:val="nl-NL"/>
        </w:rPr>
        <w:t xml:space="preserve">d.d. 27 </w:t>
      </w:r>
      <w:r w:rsidR="00925BEE" w:rsidRPr="00BE757D">
        <w:rPr>
          <w:rFonts w:ascii="Arial" w:eastAsia="Arial" w:hAnsi="Arial" w:cs="Arial"/>
          <w:color w:val="000000"/>
          <w:spacing w:val="-3"/>
          <w:sz w:val="20"/>
          <w:szCs w:val="20"/>
          <w:lang w:val="nl-NL"/>
        </w:rPr>
        <w:t xml:space="preserve">januari </w:t>
      </w:r>
      <w:r w:rsidR="00925BEE" w:rsidRPr="00BE757D">
        <w:rPr>
          <w:rFonts w:ascii="Arial" w:eastAsia="Arial" w:hAnsi="Arial" w:cs="Arial"/>
          <w:color w:val="000000"/>
          <w:spacing w:val="-3"/>
          <w:sz w:val="20"/>
          <w:szCs w:val="20"/>
          <w:lang w:val="nl-NL"/>
        </w:rPr>
        <w:t xml:space="preserve">2007 </w:t>
      </w:r>
      <w:r w:rsidR="00925BEE" w:rsidRPr="00BE757D">
        <w:rPr>
          <w:rFonts w:ascii="Arial" w:eastAsia="Arial" w:hAnsi="Arial" w:cs="Arial"/>
          <w:color w:val="000000"/>
          <w:spacing w:val="-3"/>
          <w:sz w:val="20"/>
          <w:szCs w:val="20"/>
          <w:lang w:val="nl-NL"/>
        </w:rPr>
        <w:t xml:space="preserve">geen duidelijkheid heeft gebracht </w:t>
      </w:r>
      <w:r w:rsidR="00925BEE" w:rsidRPr="00BE757D">
        <w:rPr>
          <w:rFonts w:ascii="Arial" w:eastAsia="Arial" w:hAnsi="Arial" w:cs="Arial"/>
          <w:color w:val="000000"/>
          <w:spacing w:val="-3"/>
          <w:sz w:val="20"/>
          <w:szCs w:val="20"/>
          <w:lang w:val="nl-NL"/>
        </w:rPr>
        <w:t xml:space="preserve">met </w:t>
      </w:r>
      <w:r w:rsidR="00925BEE" w:rsidRPr="00BE757D">
        <w:rPr>
          <w:rFonts w:ascii="Arial" w:eastAsia="Arial" w:hAnsi="Arial" w:cs="Arial"/>
          <w:color w:val="000000"/>
          <w:spacing w:val="-3"/>
          <w:sz w:val="20"/>
          <w:szCs w:val="20"/>
          <w:lang w:val="nl-NL"/>
        </w:rPr>
        <w:t xml:space="preserve">betrekking </w:t>
      </w:r>
      <w:r w:rsidR="00925BEE" w:rsidRPr="00BE757D">
        <w:rPr>
          <w:rFonts w:ascii="Arial" w:eastAsia="Arial" w:hAnsi="Arial" w:cs="Arial"/>
          <w:color w:val="000000"/>
          <w:spacing w:val="-3"/>
          <w:sz w:val="20"/>
          <w:szCs w:val="20"/>
          <w:lang w:val="nl-NL"/>
        </w:rPr>
        <w:t xml:space="preserve">tot de </w:t>
      </w:r>
      <w:r w:rsidR="00925BEE" w:rsidRPr="00BE757D">
        <w:rPr>
          <w:rFonts w:ascii="Arial" w:eastAsia="Arial" w:hAnsi="Arial" w:cs="Arial"/>
          <w:color w:val="000000"/>
          <w:spacing w:val="-3"/>
          <w:sz w:val="20"/>
          <w:szCs w:val="20"/>
          <w:lang w:val="nl-NL"/>
        </w:rPr>
        <w:t xml:space="preserve">aanvang </w:t>
      </w:r>
      <w:r w:rsidR="00925BEE" w:rsidRPr="00BE757D">
        <w:rPr>
          <w:rFonts w:ascii="Arial" w:eastAsia="Arial" w:hAnsi="Arial" w:cs="Arial"/>
          <w:color w:val="000000"/>
          <w:spacing w:val="-3"/>
          <w:sz w:val="20"/>
          <w:szCs w:val="20"/>
          <w:lang w:val="nl-NL"/>
        </w:rPr>
        <w:t xml:space="preserve">van de </w:t>
      </w:r>
      <w:r w:rsidR="00925BEE" w:rsidRPr="00BE757D">
        <w:rPr>
          <w:rFonts w:ascii="Arial" w:eastAsia="Arial" w:hAnsi="Arial" w:cs="Arial"/>
          <w:color w:val="000000"/>
          <w:spacing w:val="-3"/>
          <w:sz w:val="20"/>
          <w:szCs w:val="20"/>
          <w:lang w:val="nl-NL"/>
        </w:rPr>
        <w:t xml:space="preserve">verjaringstermijn </w:t>
      </w:r>
      <w:r w:rsidR="00925BEE" w:rsidRPr="00BE757D">
        <w:rPr>
          <w:rFonts w:ascii="Arial" w:eastAsia="Arial" w:hAnsi="Arial" w:cs="Arial"/>
          <w:color w:val="000000"/>
          <w:spacing w:val="-3"/>
          <w:sz w:val="20"/>
          <w:szCs w:val="20"/>
          <w:lang w:val="nl-NL"/>
        </w:rPr>
        <w:t xml:space="preserve">van </w:t>
      </w:r>
      <w:r w:rsidR="00925BEE" w:rsidRPr="00BE757D">
        <w:rPr>
          <w:rFonts w:ascii="Arial" w:eastAsia="Arial" w:hAnsi="Arial" w:cs="Arial"/>
          <w:color w:val="000000"/>
          <w:spacing w:val="-3"/>
          <w:sz w:val="20"/>
          <w:szCs w:val="20"/>
          <w:lang w:val="nl-NL"/>
        </w:rPr>
        <w:t xml:space="preserve">regresvorderingen </w:t>
      </w:r>
      <w:r w:rsidR="00925BEE" w:rsidRPr="00BE757D">
        <w:rPr>
          <w:rFonts w:ascii="Arial" w:eastAsia="Arial" w:hAnsi="Arial" w:cs="Arial"/>
          <w:color w:val="000000"/>
          <w:spacing w:val="-3"/>
          <w:sz w:val="20"/>
          <w:szCs w:val="20"/>
          <w:lang w:val="nl-NL"/>
        </w:rPr>
        <w:t>van UWV</w:t>
      </w:r>
    </w:p>
    <w:p w:rsidR="00387D1A" w:rsidRPr="00BE757D" w:rsidRDefault="00925BEE">
      <w:pPr>
        <w:spacing w:before="234" w:line="266" w:lineRule="exact"/>
        <w:jc w:val="both"/>
        <w:textAlignment w:val="baseline"/>
        <w:rPr>
          <w:rFonts w:ascii="Arial" w:eastAsia="Arial" w:hAnsi="Arial" w:cs="Arial"/>
          <w:color w:val="000000"/>
          <w:spacing w:val="-3"/>
          <w:sz w:val="20"/>
          <w:szCs w:val="20"/>
          <w:lang w:val="nl-NL"/>
        </w:rPr>
      </w:pPr>
      <w:r w:rsidRPr="00BE757D">
        <w:rPr>
          <w:rFonts w:ascii="Arial" w:eastAsia="Arial" w:hAnsi="Arial" w:cs="Arial"/>
          <w:color w:val="000000"/>
          <w:spacing w:val="-3"/>
          <w:sz w:val="20"/>
          <w:szCs w:val="20"/>
          <w:lang w:val="nl-NL"/>
        </w:rPr>
        <w:t>partijen zijn samengekomen om een voor de praktijk uitvoerbare regeling te creëren om problemen met betrekking tot de interpretatie van het begrip ‘bekendheid met de schade en de daarvoor aansprakelijke persoon’ te voorkomen</w:t>
      </w:r>
    </w:p>
    <w:p w:rsidR="00387D1A" w:rsidRPr="00BE757D" w:rsidRDefault="00925BEE">
      <w:pPr>
        <w:spacing w:before="274" w:line="266" w:lineRule="exact"/>
        <w:jc w:val="both"/>
        <w:textAlignment w:val="baseline"/>
        <w:rPr>
          <w:rFonts w:ascii="Arial" w:eastAsia="Arial" w:hAnsi="Arial" w:cs="Arial"/>
          <w:color w:val="000000"/>
          <w:spacing w:val="-3"/>
          <w:sz w:val="20"/>
          <w:szCs w:val="20"/>
          <w:lang w:val="nl-NL"/>
        </w:rPr>
      </w:pPr>
      <w:r w:rsidRPr="00BE757D">
        <w:rPr>
          <w:rFonts w:ascii="Arial" w:eastAsia="Arial" w:hAnsi="Arial" w:cs="Arial"/>
          <w:color w:val="000000"/>
          <w:spacing w:val="-3"/>
          <w:sz w:val="20"/>
          <w:szCs w:val="20"/>
          <w:lang w:val="nl-NL"/>
        </w:rPr>
        <w:t>er nog een aantal discussiepunten is, te weten de schuldverdeling bij regresvorderingen onder toepassing van artikel 185 WVW en het eigen schuldverweer met betrekking tot het niet gebruiken van de veiligheidsgordel</w:t>
      </w:r>
    </w:p>
    <w:p w:rsidR="00387D1A" w:rsidRPr="00BE757D" w:rsidRDefault="00925BEE">
      <w:pPr>
        <w:spacing w:before="272" w:line="266" w:lineRule="exact"/>
        <w:jc w:val="both"/>
        <w:textAlignment w:val="baseline"/>
        <w:rPr>
          <w:rFonts w:ascii="Arial" w:eastAsia="Arial" w:hAnsi="Arial" w:cs="Arial"/>
          <w:color w:val="000000"/>
          <w:spacing w:val="-3"/>
          <w:sz w:val="20"/>
          <w:szCs w:val="20"/>
          <w:lang w:val="nl-NL"/>
        </w:rPr>
      </w:pPr>
      <w:r w:rsidRPr="00BE757D">
        <w:rPr>
          <w:rFonts w:ascii="Arial" w:eastAsia="Arial" w:hAnsi="Arial" w:cs="Arial"/>
          <w:color w:val="000000"/>
          <w:spacing w:val="-3"/>
          <w:sz w:val="20"/>
          <w:szCs w:val="20"/>
          <w:lang w:val="nl-NL"/>
        </w:rPr>
        <w:t>partijen door middel van dit convenant ee</w:t>
      </w:r>
      <w:r w:rsidRPr="00BE757D">
        <w:rPr>
          <w:rFonts w:ascii="Arial" w:eastAsia="Arial" w:hAnsi="Arial" w:cs="Arial"/>
          <w:color w:val="000000"/>
          <w:spacing w:val="-3"/>
          <w:sz w:val="20"/>
          <w:szCs w:val="20"/>
          <w:lang w:val="nl-NL"/>
        </w:rPr>
        <w:t>n vlottere afhandeling tussen verzekeraars en UWV ter zake van de regeling van deze regresvorderingen beogen, waardoor besparingen optreden op de (</w:t>
      </w:r>
      <w:proofErr w:type="spellStart"/>
      <w:r w:rsidRPr="00BE757D">
        <w:rPr>
          <w:rFonts w:ascii="Arial" w:eastAsia="Arial" w:hAnsi="Arial" w:cs="Arial"/>
          <w:color w:val="000000"/>
          <w:spacing w:val="-3"/>
          <w:sz w:val="20"/>
          <w:szCs w:val="20"/>
          <w:lang w:val="nl-NL"/>
        </w:rPr>
        <w:t>uitvoerings</w:t>
      </w:r>
      <w:proofErr w:type="spellEnd"/>
      <w:r w:rsidRPr="00BE757D">
        <w:rPr>
          <w:rFonts w:ascii="Arial" w:eastAsia="Arial" w:hAnsi="Arial" w:cs="Arial"/>
          <w:color w:val="000000"/>
          <w:spacing w:val="-3"/>
          <w:sz w:val="20"/>
          <w:szCs w:val="20"/>
          <w:lang w:val="nl-NL"/>
        </w:rPr>
        <w:t>)kosten.</w:t>
      </w:r>
    </w:p>
    <w:p w:rsidR="00387D1A" w:rsidRPr="00BE757D" w:rsidRDefault="00925BEE">
      <w:pPr>
        <w:spacing w:before="525" w:line="233"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Komen tot de volgende regeling:</w:t>
      </w:r>
    </w:p>
    <w:p w:rsidR="00387D1A" w:rsidRPr="00BE757D" w:rsidRDefault="00925BEE">
      <w:pPr>
        <w:spacing w:before="297" w:line="235"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1. Regeling verjaring van regresvorderingen</w:t>
      </w:r>
    </w:p>
    <w:p w:rsidR="00387D1A" w:rsidRPr="00BE757D" w:rsidRDefault="00925BEE">
      <w:pPr>
        <w:numPr>
          <w:ilvl w:val="0"/>
          <w:numId w:val="1"/>
        </w:numPr>
        <w:spacing w:before="296" w:line="234" w:lineRule="exact"/>
        <w:ind w:left="0"/>
        <w:textAlignment w:val="baseline"/>
        <w:rPr>
          <w:rFonts w:ascii="Arial" w:eastAsia="Arial" w:hAnsi="Arial" w:cs="Arial"/>
          <w:color w:val="000000"/>
          <w:spacing w:val="-5"/>
          <w:sz w:val="20"/>
          <w:szCs w:val="20"/>
          <w:u w:val="single"/>
          <w:lang w:val="nl-NL"/>
        </w:rPr>
      </w:pPr>
      <w:r w:rsidRPr="00BE757D">
        <w:rPr>
          <w:rFonts w:ascii="Arial" w:eastAsia="Arial" w:hAnsi="Arial" w:cs="Arial"/>
          <w:color w:val="000000"/>
          <w:spacing w:val="-5"/>
          <w:sz w:val="20"/>
          <w:szCs w:val="20"/>
          <w:u w:val="single"/>
          <w:lang w:val="nl-NL"/>
        </w:rPr>
        <w:t xml:space="preserve">Verjaring van regresvorderingen, exclusief regresvorderingen krachtens de Wet </w:t>
      </w:r>
      <w:proofErr w:type="spellStart"/>
      <w:r w:rsidRPr="00BE757D">
        <w:rPr>
          <w:rFonts w:ascii="Arial" w:eastAsia="Arial" w:hAnsi="Arial" w:cs="Arial"/>
          <w:color w:val="000000"/>
          <w:spacing w:val="-5"/>
          <w:sz w:val="20"/>
          <w:szCs w:val="20"/>
          <w:u w:val="single"/>
          <w:lang w:val="nl-NL"/>
        </w:rPr>
        <w:t>Wajong</w:t>
      </w:r>
      <w:proofErr w:type="spellEnd"/>
    </w:p>
    <w:p w:rsidR="00387D1A" w:rsidRPr="00BE757D" w:rsidRDefault="00925BEE">
      <w:pPr>
        <w:spacing w:before="263" w:line="264" w:lineRule="exact"/>
        <w:jc w:val="both"/>
        <w:textAlignment w:val="baseline"/>
        <w:rPr>
          <w:rFonts w:ascii="Arial" w:eastAsia="Arial" w:hAnsi="Arial" w:cs="Arial"/>
          <w:color w:val="000000"/>
          <w:spacing w:val="-3"/>
          <w:sz w:val="20"/>
          <w:szCs w:val="20"/>
          <w:lang w:val="nl-NL"/>
        </w:rPr>
      </w:pPr>
      <w:r w:rsidRPr="00BE757D">
        <w:rPr>
          <w:rFonts w:ascii="Arial" w:eastAsia="Arial" w:hAnsi="Arial" w:cs="Arial"/>
          <w:color w:val="000000"/>
          <w:spacing w:val="-3"/>
          <w:sz w:val="20"/>
          <w:szCs w:val="20"/>
          <w:lang w:val="nl-NL"/>
        </w:rPr>
        <w:t>De verjaringstermijn van vijf (5) jaar voor regresvorderingen op grond van de artikelen 52a en 52b ZW, de artikelen 90, lid 1 en 91 WAO, artikel 69 WAZ, en artikel 99 WIA,</w:t>
      </w:r>
      <w:r w:rsidRPr="00BE757D">
        <w:rPr>
          <w:rFonts w:ascii="Arial" w:eastAsia="Arial" w:hAnsi="Arial" w:cs="Arial"/>
          <w:color w:val="000000"/>
          <w:spacing w:val="-3"/>
          <w:sz w:val="20"/>
          <w:szCs w:val="20"/>
          <w:lang w:val="nl-NL"/>
        </w:rPr>
        <w:t xml:space="preserve"> vangt aan één jaar na de datum waarop het ongeval plaatsvond, tenzij de vordering van de verzekerde van UWV op het moment waarop UWV de vordering indient reeds meer dan 5 jaar definitief is afgewikkeld door de aansprakelijkheidsverzekeraar, waaronder begr</w:t>
      </w:r>
      <w:r w:rsidRPr="00BE757D">
        <w:rPr>
          <w:rFonts w:ascii="Arial" w:eastAsia="Arial" w:hAnsi="Arial" w:cs="Arial"/>
          <w:color w:val="000000"/>
          <w:spacing w:val="-3"/>
          <w:sz w:val="20"/>
          <w:szCs w:val="20"/>
          <w:lang w:val="nl-NL"/>
        </w:rPr>
        <w:t>epen de situatie dat de verzekerde van UWV bij de aansprakelijkheidsverzekeraar geen vordering heeft ingediend.</w:t>
      </w:r>
    </w:p>
    <w:p w:rsidR="00387D1A" w:rsidRPr="00BE757D" w:rsidRDefault="00925BEE">
      <w:pPr>
        <w:numPr>
          <w:ilvl w:val="0"/>
          <w:numId w:val="1"/>
        </w:numPr>
        <w:spacing w:before="534" w:line="264" w:lineRule="exact"/>
        <w:ind w:left="0"/>
        <w:jc w:val="both"/>
        <w:textAlignment w:val="baseline"/>
        <w:rPr>
          <w:rFonts w:ascii="Arial" w:eastAsia="Arial" w:hAnsi="Arial" w:cs="Arial"/>
          <w:color w:val="000000"/>
          <w:sz w:val="20"/>
          <w:szCs w:val="20"/>
          <w:u w:val="single"/>
          <w:lang w:val="nl-NL"/>
        </w:rPr>
      </w:pPr>
      <w:r w:rsidRPr="00BE757D">
        <w:rPr>
          <w:rFonts w:ascii="Arial" w:eastAsia="Arial" w:hAnsi="Arial" w:cs="Arial"/>
          <w:color w:val="000000"/>
          <w:sz w:val="20"/>
          <w:szCs w:val="20"/>
          <w:u w:val="single"/>
          <w:lang w:val="nl-NL"/>
        </w:rPr>
        <w:t xml:space="preserve">Verjaring van regresvorderingen krachtens de Wet </w:t>
      </w:r>
      <w:proofErr w:type="spellStart"/>
      <w:r w:rsidRPr="00BE757D">
        <w:rPr>
          <w:rFonts w:ascii="Arial" w:eastAsia="Arial" w:hAnsi="Arial" w:cs="Arial"/>
          <w:color w:val="000000"/>
          <w:sz w:val="20"/>
          <w:szCs w:val="20"/>
          <w:u w:val="single"/>
          <w:lang w:val="nl-NL"/>
        </w:rPr>
        <w:t>Wajong</w:t>
      </w:r>
      <w:proofErr w:type="spellEnd"/>
      <w:r w:rsidRPr="00BE757D">
        <w:rPr>
          <w:rFonts w:ascii="Arial" w:eastAsia="Arial" w:hAnsi="Arial" w:cs="Arial"/>
          <w:color w:val="000000"/>
          <w:sz w:val="20"/>
          <w:szCs w:val="20"/>
          <w:u w:val="single"/>
          <w:lang w:val="nl-NL"/>
        </w:rPr>
        <w:t xml:space="preserve"> betreffende een ongeval gedateerd vóór 1 februari 2004 </w:t>
      </w:r>
    </w:p>
    <w:p w:rsidR="00387D1A" w:rsidRPr="00BE757D" w:rsidRDefault="00925BEE">
      <w:pPr>
        <w:spacing w:before="263" w:line="264"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De verjaringstermijn van vijf (5) jaar voor regresvorderingen op grond van artikel 4:2 Wet </w:t>
      </w:r>
      <w:proofErr w:type="spellStart"/>
      <w:r w:rsidRPr="00BE757D">
        <w:rPr>
          <w:rFonts w:ascii="Arial" w:eastAsia="Arial" w:hAnsi="Arial" w:cs="Arial"/>
          <w:color w:val="000000"/>
          <w:sz w:val="20"/>
          <w:szCs w:val="20"/>
          <w:lang w:val="nl-NL"/>
        </w:rPr>
        <w:t>Wajong</w:t>
      </w:r>
      <w:proofErr w:type="spellEnd"/>
      <w:r w:rsidRPr="00BE757D">
        <w:rPr>
          <w:rFonts w:ascii="Arial" w:eastAsia="Arial" w:hAnsi="Arial" w:cs="Arial"/>
          <w:color w:val="000000"/>
          <w:sz w:val="20"/>
          <w:szCs w:val="20"/>
          <w:lang w:val="nl-NL"/>
        </w:rPr>
        <w:t xml:space="preserve">, die zijn gerelateerd aan een ongeval dat plaatsvond vóór 1 februari 2004, vangt aan </w:t>
      </w:r>
      <w:r w:rsidRPr="00BE757D">
        <w:rPr>
          <w:rFonts w:ascii="Arial" w:eastAsia="Arial" w:hAnsi="Arial" w:cs="Arial"/>
          <w:color w:val="000000"/>
          <w:sz w:val="20"/>
          <w:szCs w:val="20"/>
          <w:lang w:val="nl-NL"/>
        </w:rPr>
        <w:lastRenderedPageBreak/>
        <w:t>op de datum van de vaststellingsovereenkomst tussen de verzekerde van UWV</w:t>
      </w:r>
      <w:r w:rsidRPr="00BE757D">
        <w:rPr>
          <w:rFonts w:ascii="Arial" w:eastAsia="Arial" w:hAnsi="Arial" w:cs="Arial"/>
          <w:color w:val="000000"/>
          <w:sz w:val="20"/>
          <w:szCs w:val="20"/>
          <w:lang w:val="nl-NL"/>
        </w:rPr>
        <w:t xml:space="preserve"> en de aansprakelijke verzekeraar. Indien en voor zover de verzekerde van UWV op dat moment</w:t>
      </w:r>
    </w:p>
    <w:p w:rsidR="00387D1A" w:rsidRPr="00BE757D" w:rsidRDefault="00925BEE">
      <w:pPr>
        <w:spacing w:line="252" w:lineRule="exact"/>
        <w:jc w:val="both"/>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 xml:space="preserve">daadwerkelijk een </w:t>
      </w:r>
      <w:proofErr w:type="spellStart"/>
      <w:r w:rsidRPr="00BE757D">
        <w:rPr>
          <w:rFonts w:ascii="Arial" w:eastAsia="Arial" w:hAnsi="Arial" w:cs="Arial"/>
          <w:color w:val="000000"/>
          <w:spacing w:val="-4"/>
          <w:sz w:val="20"/>
          <w:szCs w:val="20"/>
          <w:lang w:val="nl-NL"/>
        </w:rPr>
        <w:t>Wajong-uitkering</w:t>
      </w:r>
      <w:proofErr w:type="spellEnd"/>
      <w:r w:rsidRPr="00BE757D">
        <w:rPr>
          <w:rFonts w:ascii="Arial" w:eastAsia="Arial" w:hAnsi="Arial" w:cs="Arial"/>
          <w:color w:val="000000"/>
          <w:spacing w:val="-4"/>
          <w:sz w:val="20"/>
          <w:szCs w:val="20"/>
          <w:lang w:val="nl-NL"/>
        </w:rPr>
        <w:t xml:space="preserve"> ontvangt in relatie tot dat ongeval is de bovengenoemde termijn gemaximeerd tot 5 j</w:t>
      </w:r>
      <w:r w:rsidRPr="00BE757D">
        <w:rPr>
          <w:rFonts w:ascii="Arial" w:eastAsia="Arial" w:hAnsi="Arial" w:cs="Arial"/>
          <w:color w:val="000000"/>
          <w:spacing w:val="-4"/>
          <w:sz w:val="20"/>
          <w:szCs w:val="20"/>
          <w:lang w:val="nl-NL"/>
        </w:rPr>
        <w:t xml:space="preserve">aar na aanvang van die </w:t>
      </w:r>
      <w:proofErr w:type="spellStart"/>
      <w:r w:rsidRPr="00BE757D">
        <w:rPr>
          <w:rFonts w:ascii="Arial" w:eastAsia="Arial" w:hAnsi="Arial" w:cs="Arial"/>
          <w:color w:val="000000"/>
          <w:spacing w:val="-4"/>
          <w:sz w:val="20"/>
          <w:szCs w:val="20"/>
          <w:lang w:val="nl-NL"/>
        </w:rPr>
        <w:t>Wajong-uitkering</w:t>
      </w:r>
      <w:proofErr w:type="spellEnd"/>
      <w:r w:rsidRPr="00BE757D">
        <w:rPr>
          <w:rFonts w:ascii="Arial" w:eastAsia="Arial" w:hAnsi="Arial" w:cs="Arial"/>
          <w:color w:val="000000"/>
          <w:spacing w:val="-4"/>
          <w:sz w:val="20"/>
          <w:szCs w:val="20"/>
          <w:lang w:val="nl-NL"/>
        </w:rPr>
        <w:t>.</w:t>
      </w:r>
    </w:p>
    <w:p w:rsidR="00387D1A" w:rsidRPr="00BE757D" w:rsidRDefault="00925BEE">
      <w:pPr>
        <w:spacing w:before="260" w:line="230" w:lineRule="exact"/>
        <w:ind w:right="504"/>
        <w:textAlignment w:val="baseline"/>
        <w:rPr>
          <w:rFonts w:ascii="Arial" w:eastAsia="Arial" w:hAnsi="Arial" w:cs="Arial"/>
          <w:color w:val="000000"/>
          <w:spacing w:val="-5"/>
          <w:sz w:val="20"/>
          <w:szCs w:val="20"/>
          <w:lang w:val="nl-NL"/>
        </w:rPr>
      </w:pPr>
      <w:r w:rsidRPr="00BE757D">
        <w:rPr>
          <w:rFonts w:ascii="Arial" w:eastAsia="Arial" w:hAnsi="Arial" w:cs="Arial"/>
          <w:color w:val="000000"/>
          <w:spacing w:val="-5"/>
          <w:sz w:val="20"/>
          <w:szCs w:val="20"/>
          <w:lang w:val="nl-NL"/>
        </w:rPr>
        <w:t xml:space="preserve">Indien de verjaring niet door de verzekerde van UWV gestuit werd heeft, gelijk onder A. is vastgelegd, te gelden dat de verjaringstermijn ingaat één (1) jaar na de </w:t>
      </w:r>
      <w:proofErr w:type="spellStart"/>
      <w:r w:rsidRPr="00BE757D">
        <w:rPr>
          <w:rFonts w:ascii="Arial" w:eastAsia="Arial" w:hAnsi="Arial" w:cs="Arial"/>
          <w:color w:val="000000"/>
          <w:spacing w:val="-5"/>
          <w:sz w:val="20"/>
          <w:szCs w:val="20"/>
          <w:lang w:val="nl-NL"/>
        </w:rPr>
        <w:t>ongevalsdatum</w:t>
      </w:r>
      <w:proofErr w:type="spellEnd"/>
      <w:r w:rsidRPr="00BE757D">
        <w:rPr>
          <w:rFonts w:ascii="Arial" w:eastAsia="Arial" w:hAnsi="Arial" w:cs="Arial"/>
          <w:color w:val="000000"/>
          <w:spacing w:val="-5"/>
          <w:sz w:val="20"/>
          <w:szCs w:val="20"/>
          <w:lang w:val="nl-NL"/>
        </w:rPr>
        <w:t>.</w:t>
      </w:r>
    </w:p>
    <w:p w:rsidR="00387D1A" w:rsidRPr="00BE757D" w:rsidRDefault="00925BEE">
      <w:pPr>
        <w:spacing w:before="422" w:line="264" w:lineRule="exact"/>
        <w:ind w:right="216"/>
        <w:textAlignment w:val="baseline"/>
        <w:rPr>
          <w:rFonts w:ascii="Arial" w:eastAsia="Arial" w:hAnsi="Arial" w:cs="Arial"/>
          <w:color w:val="000000"/>
          <w:sz w:val="20"/>
          <w:szCs w:val="20"/>
          <w:u w:val="single"/>
          <w:lang w:val="nl-NL"/>
        </w:rPr>
      </w:pPr>
      <w:r w:rsidRPr="00BE757D">
        <w:rPr>
          <w:rFonts w:ascii="Arial" w:eastAsia="Arial" w:hAnsi="Arial" w:cs="Arial"/>
          <w:color w:val="000000"/>
          <w:sz w:val="20"/>
          <w:szCs w:val="20"/>
          <w:u w:val="single"/>
          <w:lang w:val="nl-NL"/>
        </w:rPr>
        <w:t xml:space="preserve">C. Verjaring van regresvorderingen krachtens de Wet </w:t>
      </w:r>
      <w:proofErr w:type="spellStart"/>
      <w:r w:rsidRPr="00BE757D">
        <w:rPr>
          <w:rFonts w:ascii="Arial" w:eastAsia="Arial" w:hAnsi="Arial" w:cs="Arial"/>
          <w:color w:val="000000"/>
          <w:sz w:val="20"/>
          <w:szCs w:val="20"/>
          <w:u w:val="single"/>
          <w:lang w:val="nl-NL"/>
        </w:rPr>
        <w:t>Wajong</w:t>
      </w:r>
      <w:proofErr w:type="spellEnd"/>
      <w:r w:rsidRPr="00BE757D">
        <w:rPr>
          <w:rFonts w:ascii="Arial" w:eastAsia="Arial" w:hAnsi="Arial" w:cs="Arial"/>
          <w:color w:val="000000"/>
          <w:sz w:val="20"/>
          <w:szCs w:val="20"/>
          <w:u w:val="single"/>
          <w:lang w:val="nl-NL"/>
        </w:rPr>
        <w:t xml:space="preserve"> inzake een ongeval gedateerd na 1 februari 2004 </w:t>
      </w:r>
    </w:p>
    <w:p w:rsidR="00387D1A" w:rsidRPr="00BE757D" w:rsidRDefault="00925BEE">
      <w:pPr>
        <w:spacing w:before="265" w:line="264" w:lineRule="exact"/>
        <w:jc w:val="both"/>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 xml:space="preserve">Ten aanzien van regresvorderingen op grond van artikel 4:2 Wet </w:t>
      </w:r>
      <w:proofErr w:type="spellStart"/>
      <w:r w:rsidRPr="00BE757D">
        <w:rPr>
          <w:rFonts w:ascii="Arial" w:eastAsia="Arial" w:hAnsi="Arial" w:cs="Arial"/>
          <w:color w:val="000000"/>
          <w:spacing w:val="-4"/>
          <w:sz w:val="20"/>
          <w:szCs w:val="20"/>
          <w:lang w:val="nl-NL"/>
        </w:rPr>
        <w:t>Wajong</w:t>
      </w:r>
      <w:proofErr w:type="spellEnd"/>
      <w:r w:rsidRPr="00BE757D">
        <w:rPr>
          <w:rFonts w:ascii="Arial" w:eastAsia="Arial" w:hAnsi="Arial" w:cs="Arial"/>
          <w:color w:val="000000"/>
          <w:spacing w:val="-4"/>
          <w:sz w:val="20"/>
          <w:szCs w:val="20"/>
          <w:lang w:val="nl-NL"/>
        </w:rPr>
        <w:t>, die zijn gerelateerd aan een ongeval dat plaatsvond na 1 februari 2004, geldt</w:t>
      </w:r>
      <w:r w:rsidRPr="00BE757D">
        <w:rPr>
          <w:rFonts w:ascii="Arial" w:eastAsia="Arial" w:hAnsi="Arial" w:cs="Arial"/>
          <w:color w:val="000000"/>
          <w:spacing w:val="-4"/>
          <w:sz w:val="20"/>
          <w:szCs w:val="20"/>
          <w:lang w:val="nl-NL"/>
        </w:rPr>
        <w:t xml:space="preserve"> het bepaalde in artikel 3:310 lid 1 BW, indien de verzekerde van UWV op het moment van het ongeval meerderjarig is. Alsdan heeft, gelijk onder A. is vastgelegd, te gelden dat de verjaringstermijn ingaat één jaar na de </w:t>
      </w:r>
      <w:proofErr w:type="spellStart"/>
      <w:r w:rsidRPr="00BE757D">
        <w:rPr>
          <w:rFonts w:ascii="Arial" w:eastAsia="Arial" w:hAnsi="Arial" w:cs="Arial"/>
          <w:color w:val="000000"/>
          <w:spacing w:val="-4"/>
          <w:sz w:val="20"/>
          <w:szCs w:val="20"/>
          <w:lang w:val="nl-NL"/>
        </w:rPr>
        <w:t>ongevalsdatum</w:t>
      </w:r>
      <w:proofErr w:type="spellEnd"/>
      <w:r w:rsidRPr="00BE757D">
        <w:rPr>
          <w:rFonts w:ascii="Arial" w:eastAsia="Arial" w:hAnsi="Arial" w:cs="Arial"/>
          <w:color w:val="000000"/>
          <w:spacing w:val="-4"/>
          <w:sz w:val="20"/>
          <w:szCs w:val="20"/>
          <w:lang w:val="nl-NL"/>
        </w:rPr>
        <w:t>.</w:t>
      </w:r>
    </w:p>
    <w:p w:rsidR="00387D1A" w:rsidRPr="00BE757D" w:rsidRDefault="00925BEE">
      <w:pPr>
        <w:spacing w:before="269" w:line="264"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Indien de verzekerde v</w:t>
      </w:r>
      <w:r w:rsidRPr="00BE757D">
        <w:rPr>
          <w:rFonts w:ascii="Arial" w:eastAsia="Arial" w:hAnsi="Arial" w:cs="Arial"/>
          <w:color w:val="000000"/>
          <w:sz w:val="20"/>
          <w:szCs w:val="20"/>
          <w:lang w:val="nl-NL"/>
        </w:rPr>
        <w:t>an UWV op het moment van het ongeval minderjarig is geldt op basis van artikel 3:310 lid 5 BW dat de verjaringstermijn ingaat bij meerderjarigheid.</w:t>
      </w:r>
    </w:p>
    <w:p w:rsidR="00387D1A" w:rsidRPr="00BE757D" w:rsidRDefault="00925BEE">
      <w:pPr>
        <w:spacing w:before="489" w:line="232"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2. Regeling regresvorderingen op grond van artikel 185 WVW</w:t>
      </w:r>
    </w:p>
    <w:p w:rsidR="00387D1A" w:rsidRPr="00BE757D" w:rsidRDefault="00925BEE">
      <w:pPr>
        <w:spacing w:before="234" w:line="264"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Op regresvorderingen van UWV onder de wer</w:t>
      </w:r>
      <w:r w:rsidRPr="00BE757D">
        <w:rPr>
          <w:rFonts w:ascii="Arial" w:eastAsia="Arial" w:hAnsi="Arial" w:cs="Arial"/>
          <w:color w:val="000000"/>
          <w:sz w:val="20"/>
          <w:szCs w:val="20"/>
          <w:lang w:val="nl-NL"/>
        </w:rPr>
        <w:t>king van artikel 185 WVW gelden de volgende percentages:</w:t>
      </w:r>
    </w:p>
    <w:p w:rsidR="00387D1A" w:rsidRPr="00BE757D" w:rsidRDefault="00925BEE">
      <w:pPr>
        <w:spacing w:before="264" w:line="264" w:lineRule="exact"/>
        <w:ind w:left="720" w:hanging="720"/>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100% aansprakelijkheid van de aansprakelijkheidsverzekeraar indien het ongeval alleen te wijten is aan een door de bestuurder van het betrokken motorrijtuig begane fout;</w:t>
      </w:r>
    </w:p>
    <w:p w:rsidR="00387D1A" w:rsidRPr="00BE757D" w:rsidRDefault="00925BEE">
      <w:pPr>
        <w:spacing w:before="264" w:line="264" w:lineRule="exact"/>
        <w:ind w:left="720" w:hanging="720"/>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60% aansprakelijkheid van de </w:t>
      </w:r>
      <w:r w:rsidRPr="00BE757D">
        <w:rPr>
          <w:rFonts w:ascii="Arial" w:eastAsia="Arial" w:hAnsi="Arial" w:cs="Arial"/>
          <w:color w:val="000000"/>
          <w:sz w:val="20"/>
          <w:szCs w:val="20"/>
          <w:lang w:val="nl-NL"/>
        </w:rPr>
        <w:t>aansprakelijkheidsverzekeraar indien het ongeval te wijten is aan fouten van beide betrokken partijen en waarbij de zwakkere verkeersdeelnemer op het moment van plaatsvinden van het ongeval de leeftijd van 14 jaar nog niet heeft bereikt;</w:t>
      </w:r>
    </w:p>
    <w:p w:rsidR="00387D1A" w:rsidRPr="00BE757D" w:rsidRDefault="00925BEE">
      <w:pPr>
        <w:spacing w:before="269" w:line="264" w:lineRule="exact"/>
        <w:ind w:left="720" w:hanging="720"/>
        <w:jc w:val="both"/>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40% aansprakelijkh</w:t>
      </w:r>
      <w:r w:rsidRPr="00BE757D">
        <w:rPr>
          <w:rFonts w:ascii="Arial" w:eastAsia="Arial" w:hAnsi="Arial" w:cs="Arial"/>
          <w:color w:val="000000"/>
          <w:spacing w:val="-4"/>
          <w:sz w:val="20"/>
          <w:szCs w:val="20"/>
          <w:lang w:val="nl-NL"/>
        </w:rPr>
        <w:t>eid van de aansprakelijkheidsverzekeraar indien het ongeval te wijten is aan fouten van beide betrokken partijen en waarbij de zwakkere verkeersdeelnemer op het moment van plaatsvinden van het ongeval de leeftijd van 14 jaar of ouder heeft;</w:t>
      </w:r>
    </w:p>
    <w:p w:rsidR="00387D1A" w:rsidRPr="00BE757D" w:rsidRDefault="00925BEE">
      <w:pPr>
        <w:tabs>
          <w:tab w:val="right" w:pos="8424"/>
        </w:tabs>
        <w:spacing w:before="295" w:line="233"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0%</w:t>
      </w:r>
      <w:r w:rsidRPr="00BE757D">
        <w:rPr>
          <w:rFonts w:ascii="Arial" w:eastAsia="Arial" w:hAnsi="Arial" w:cs="Arial"/>
          <w:color w:val="000000"/>
          <w:sz w:val="20"/>
          <w:szCs w:val="20"/>
          <w:lang w:val="nl-NL"/>
        </w:rPr>
        <w:tab/>
        <w:t>aansprakelij</w:t>
      </w:r>
      <w:r w:rsidRPr="00BE757D">
        <w:rPr>
          <w:rFonts w:ascii="Arial" w:eastAsia="Arial" w:hAnsi="Arial" w:cs="Arial"/>
          <w:color w:val="000000"/>
          <w:sz w:val="20"/>
          <w:szCs w:val="20"/>
          <w:lang w:val="nl-NL"/>
        </w:rPr>
        <w:t>kheid van de aansprakelijkheidsverzekeraar indien het ongeval alleen te</w:t>
      </w:r>
    </w:p>
    <w:p w:rsidR="00387D1A" w:rsidRPr="00BE757D" w:rsidRDefault="00925BEE">
      <w:pPr>
        <w:spacing w:before="31" w:line="233" w:lineRule="exact"/>
        <w:ind w:left="720"/>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wijten is aan een door de zwakkere verkeersdeelnemer begane fout.</w:t>
      </w:r>
    </w:p>
    <w:p w:rsidR="00387D1A" w:rsidRPr="00BE757D" w:rsidRDefault="00925BEE">
      <w:pPr>
        <w:spacing w:before="292" w:line="232"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3. Het niet gebruiken van de veiligheidsgordel</w:t>
      </w:r>
    </w:p>
    <w:p w:rsidR="00387D1A" w:rsidRPr="00BE757D" w:rsidRDefault="00925BEE">
      <w:pPr>
        <w:spacing w:before="272" w:line="264"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Ingeval vaststaat dat de verzekerde van UWV, die een gordelplicht heeft, de gordel niet heeft gedragen, wordt een reductie van 25 procent op de regresvordering toegepast. Voor die gevallen waarin het duidelijk is dat het letsel niet zou zijn ontstaan als d</w:t>
      </w:r>
      <w:r w:rsidRPr="00BE757D">
        <w:rPr>
          <w:rFonts w:ascii="Arial" w:eastAsia="Arial" w:hAnsi="Arial" w:cs="Arial"/>
          <w:color w:val="000000"/>
          <w:sz w:val="20"/>
          <w:szCs w:val="20"/>
          <w:lang w:val="nl-NL"/>
        </w:rPr>
        <w:t xml:space="preserve">e gordel gedragen was, en bovendien een goed werkende gordel aanwezig was </w:t>
      </w:r>
      <w:proofErr w:type="spellStart"/>
      <w:r w:rsidRPr="00BE757D">
        <w:rPr>
          <w:rFonts w:ascii="Arial" w:eastAsia="Arial" w:hAnsi="Arial" w:cs="Arial"/>
          <w:color w:val="000000"/>
          <w:sz w:val="20"/>
          <w:szCs w:val="20"/>
          <w:lang w:val="nl-NL"/>
        </w:rPr>
        <w:t>én</w:t>
      </w:r>
      <w:proofErr w:type="spellEnd"/>
      <w:r w:rsidRPr="00BE757D">
        <w:rPr>
          <w:rFonts w:ascii="Arial" w:eastAsia="Arial" w:hAnsi="Arial" w:cs="Arial"/>
          <w:color w:val="000000"/>
          <w:sz w:val="20"/>
          <w:szCs w:val="20"/>
          <w:lang w:val="nl-NL"/>
        </w:rPr>
        <w:t xml:space="preserve"> de verzekerde van UWV verplicht was deze te gebruiken, kunnen partijen op gemotiveerd verzoek van de betrokken verzekeraar een andere reductie overeenkomen.</w:t>
      </w:r>
    </w:p>
    <w:p w:rsidR="00387D1A" w:rsidRPr="00BE757D" w:rsidRDefault="00925BEE">
      <w:pPr>
        <w:spacing w:before="293" w:line="232"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4. Ingangsdatu</w:t>
      </w:r>
      <w:r w:rsidRPr="00BE757D">
        <w:rPr>
          <w:rFonts w:ascii="Arial" w:eastAsia="Arial" w:hAnsi="Arial" w:cs="Arial"/>
          <w:b/>
          <w:color w:val="000000"/>
          <w:sz w:val="20"/>
          <w:szCs w:val="20"/>
          <w:lang w:val="nl-NL"/>
        </w:rPr>
        <w:t>m, looptijd en toepassing</w:t>
      </w:r>
    </w:p>
    <w:p w:rsidR="00387D1A" w:rsidRPr="00BE757D" w:rsidRDefault="00925BEE">
      <w:pPr>
        <w:spacing w:before="262" w:line="269"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Dit convenant vangt aan op datum ondertekening en heeft een looptijd van drie (3) jaar met stilzwijgende verlenging.</w:t>
      </w:r>
    </w:p>
    <w:p w:rsidR="00387D1A" w:rsidRPr="00BE757D" w:rsidRDefault="00925BEE">
      <w:pPr>
        <w:spacing w:line="264" w:lineRule="exact"/>
        <w:jc w:val="both"/>
        <w:textAlignment w:val="baseline"/>
        <w:rPr>
          <w:rFonts w:ascii="Arial" w:eastAsia="Arial" w:hAnsi="Arial" w:cs="Arial"/>
          <w:color w:val="000000"/>
          <w:spacing w:val="-2"/>
          <w:sz w:val="20"/>
          <w:szCs w:val="20"/>
          <w:lang w:val="nl-NL"/>
        </w:rPr>
      </w:pPr>
      <w:r w:rsidRPr="00BE757D">
        <w:rPr>
          <w:rFonts w:ascii="Arial" w:eastAsia="Arial" w:hAnsi="Arial" w:cs="Arial"/>
          <w:color w:val="000000"/>
          <w:spacing w:val="-2"/>
          <w:sz w:val="20"/>
          <w:szCs w:val="20"/>
          <w:lang w:val="nl-NL"/>
        </w:rPr>
        <w:t>Het convenant geldt voor alle nog niet definitief afgehandelde zaken waarin door de verzekeraar een beroep is ge</w:t>
      </w:r>
      <w:r w:rsidRPr="00BE757D">
        <w:rPr>
          <w:rFonts w:ascii="Arial" w:eastAsia="Arial" w:hAnsi="Arial" w:cs="Arial"/>
          <w:color w:val="000000"/>
          <w:spacing w:val="-2"/>
          <w:sz w:val="20"/>
          <w:szCs w:val="20"/>
          <w:lang w:val="nl-NL"/>
        </w:rPr>
        <w:t>daan op verjaring ex art. 3:310 BW en/of een beroep is gedaan</w:t>
      </w:r>
    </w:p>
    <w:p w:rsidR="00387D1A" w:rsidRPr="00BE757D" w:rsidRDefault="00387D1A">
      <w:pPr>
        <w:rPr>
          <w:rFonts w:ascii="Arial" w:hAnsi="Arial" w:cs="Arial"/>
          <w:sz w:val="20"/>
          <w:szCs w:val="20"/>
          <w:lang w:val="nl-NL"/>
        </w:rPr>
        <w:sectPr w:rsidR="00387D1A" w:rsidRPr="00BE757D">
          <w:pgSz w:w="11909" w:h="16838"/>
          <w:pgMar w:top="560" w:right="1667" w:bottom="242" w:left="1782" w:header="720" w:footer="720" w:gutter="0"/>
          <w:cols w:space="708"/>
        </w:sectPr>
      </w:pPr>
    </w:p>
    <w:p w:rsidR="00387D1A" w:rsidRPr="00BE757D" w:rsidRDefault="00387D1A">
      <w:pPr>
        <w:spacing w:before="6" w:after="227"/>
        <w:ind w:left="25" w:right="25"/>
        <w:textAlignment w:val="baseline"/>
        <w:rPr>
          <w:rFonts w:ascii="Arial" w:hAnsi="Arial" w:cs="Arial"/>
          <w:sz w:val="20"/>
          <w:szCs w:val="20"/>
        </w:rPr>
      </w:pPr>
    </w:p>
    <w:p w:rsidR="00387D1A" w:rsidRPr="00BE757D" w:rsidRDefault="00925BEE">
      <w:pPr>
        <w:spacing w:line="255"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op een gordelreductie en/of een van een in artikel 2 vermeld afwijkend percentage, en voor nieuwe zaken. Reeds afgehandelde dossiers tussen betrokken verzekeraars en het UWV vallen niet onder dit convenant.</w:t>
      </w:r>
    </w:p>
    <w:p w:rsidR="00387D1A" w:rsidRPr="00BE757D" w:rsidRDefault="00925BEE">
      <w:pPr>
        <w:spacing w:before="299" w:line="230"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5. Wetswijziging of wijziging van jurispr</w:t>
      </w:r>
      <w:r w:rsidRPr="00BE757D">
        <w:rPr>
          <w:rFonts w:ascii="Arial" w:eastAsia="Arial" w:hAnsi="Arial" w:cs="Arial"/>
          <w:b/>
          <w:color w:val="000000"/>
          <w:sz w:val="20"/>
          <w:szCs w:val="20"/>
          <w:lang w:val="nl-NL"/>
        </w:rPr>
        <w:t>udentie</w:t>
      </w:r>
    </w:p>
    <w:p w:rsidR="00387D1A" w:rsidRPr="00BE757D" w:rsidRDefault="00925BEE">
      <w:pPr>
        <w:spacing w:before="268" w:line="264" w:lineRule="exact"/>
        <w:jc w:val="both"/>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Wanneer er tijdens de looptijd van het convenant een relevante wetswijziging plaatsvindt of jurisprudentie van de Hoge Raad ter zake van de in dit convenant geregelde onderwerpen daartoe aanleiding geeft kan een partij bij dit convenant zijn deelna</w:t>
      </w:r>
      <w:r w:rsidRPr="00BE757D">
        <w:rPr>
          <w:rFonts w:ascii="Arial" w:eastAsia="Arial" w:hAnsi="Arial" w:cs="Arial"/>
          <w:color w:val="000000"/>
          <w:spacing w:val="-4"/>
          <w:sz w:val="20"/>
          <w:szCs w:val="20"/>
          <w:lang w:val="nl-NL"/>
        </w:rPr>
        <w:t>me beëindigen. De opzegging dient uitsluitend schriftelijk te gebeuren binnen twee (2) maanden na de ingangsdatum van de wetswijziging of de datum van het arrest van de Hoge Raad.</w:t>
      </w:r>
    </w:p>
    <w:p w:rsidR="00387D1A" w:rsidRPr="00BE757D" w:rsidRDefault="00925BEE">
      <w:pPr>
        <w:spacing w:before="563" w:after="276" w:line="230"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6. Toelichting</w:t>
      </w:r>
    </w:p>
    <w:p w:rsidR="00387D1A" w:rsidRPr="00BE757D" w:rsidRDefault="00925BEE">
      <w:pPr>
        <w:spacing w:before="13" w:after="548" w:line="234"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 xml:space="preserve">De </w:t>
      </w:r>
      <w:r w:rsidRPr="00BE757D">
        <w:rPr>
          <w:rFonts w:ascii="Arial" w:eastAsia="Arial" w:hAnsi="Arial" w:cs="Arial"/>
          <w:color w:val="000000"/>
          <w:spacing w:val="-4"/>
          <w:sz w:val="20"/>
          <w:szCs w:val="20"/>
          <w:lang w:val="nl-NL"/>
        </w:rPr>
        <w:t xml:space="preserve">toelichting </w:t>
      </w:r>
      <w:r w:rsidRPr="00BE757D">
        <w:rPr>
          <w:rFonts w:ascii="Arial" w:eastAsia="Arial" w:hAnsi="Arial" w:cs="Arial"/>
          <w:color w:val="000000"/>
          <w:spacing w:val="-4"/>
          <w:sz w:val="20"/>
          <w:szCs w:val="20"/>
          <w:lang w:val="nl-NL"/>
        </w:rPr>
        <w:t xml:space="preserve">op </w:t>
      </w:r>
      <w:r w:rsidRPr="00BE757D">
        <w:rPr>
          <w:rFonts w:ascii="Arial" w:eastAsia="Arial" w:hAnsi="Arial" w:cs="Arial"/>
          <w:color w:val="000000"/>
          <w:spacing w:val="-4"/>
          <w:sz w:val="20"/>
          <w:szCs w:val="20"/>
          <w:lang w:val="nl-NL"/>
        </w:rPr>
        <w:t xml:space="preserve">het </w:t>
      </w:r>
      <w:r w:rsidRPr="00BE757D">
        <w:rPr>
          <w:rFonts w:ascii="Arial" w:eastAsia="Arial" w:hAnsi="Arial" w:cs="Arial"/>
          <w:color w:val="000000"/>
          <w:spacing w:val="-4"/>
          <w:sz w:val="20"/>
          <w:szCs w:val="20"/>
          <w:lang w:val="nl-NL"/>
        </w:rPr>
        <w:t xml:space="preserve">convenant </w:t>
      </w:r>
      <w:r w:rsidRPr="00BE757D">
        <w:rPr>
          <w:rFonts w:ascii="Arial" w:eastAsia="Arial" w:hAnsi="Arial" w:cs="Arial"/>
          <w:color w:val="000000"/>
          <w:spacing w:val="-4"/>
          <w:sz w:val="20"/>
          <w:szCs w:val="20"/>
          <w:lang w:val="nl-NL"/>
        </w:rPr>
        <w:t xml:space="preserve">maakt deel uit </w:t>
      </w:r>
      <w:r w:rsidRPr="00BE757D">
        <w:rPr>
          <w:rFonts w:ascii="Arial" w:eastAsia="Arial" w:hAnsi="Arial" w:cs="Arial"/>
          <w:color w:val="000000"/>
          <w:spacing w:val="-4"/>
          <w:sz w:val="20"/>
          <w:szCs w:val="20"/>
          <w:lang w:val="nl-NL"/>
        </w:rPr>
        <w:t>van di</w:t>
      </w:r>
      <w:r w:rsidRPr="00BE757D">
        <w:rPr>
          <w:rFonts w:ascii="Arial" w:eastAsia="Arial" w:hAnsi="Arial" w:cs="Arial"/>
          <w:color w:val="000000"/>
          <w:spacing w:val="-4"/>
          <w:sz w:val="20"/>
          <w:szCs w:val="20"/>
          <w:lang w:val="nl-NL"/>
        </w:rPr>
        <w:t>t convenant.</w:t>
      </w:r>
    </w:p>
    <w:p w:rsidR="00387D1A" w:rsidRPr="00BE757D" w:rsidRDefault="00925BEE">
      <w:pPr>
        <w:spacing w:before="1" w:line="230"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7. Citeertitel</w:t>
      </w:r>
    </w:p>
    <w:p w:rsidR="00387D1A" w:rsidRPr="00BE757D" w:rsidRDefault="00925BEE">
      <w:pPr>
        <w:spacing w:before="329" w:line="204"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De citeertitel voor onderhavig convenant is: ‘Convenant Verjaring’.</w:t>
      </w:r>
    </w:p>
    <w:p w:rsidR="00387D1A" w:rsidRPr="00BE757D" w:rsidRDefault="00925BEE">
      <w:pPr>
        <w:spacing w:before="1093" w:line="231"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Aldus opgemaakt en ondertekend in tweevoud,</w:t>
      </w:r>
    </w:p>
    <w:p w:rsidR="00387D1A" w:rsidRPr="00BE757D" w:rsidRDefault="00925BEE">
      <w:pPr>
        <w:tabs>
          <w:tab w:val="left" w:pos="4104"/>
        </w:tabs>
        <w:spacing w:before="288" w:line="241" w:lineRule="exact"/>
        <w:textAlignment w:val="baseline"/>
        <w:rPr>
          <w:rFonts w:ascii="Arial" w:eastAsia="Arial" w:hAnsi="Arial" w:cs="Arial"/>
          <w:color w:val="000000"/>
          <w:spacing w:val="-2"/>
          <w:sz w:val="20"/>
          <w:szCs w:val="20"/>
          <w:lang w:val="nl-NL"/>
        </w:rPr>
      </w:pPr>
      <w:r w:rsidRPr="00BE757D">
        <w:rPr>
          <w:rFonts w:ascii="Arial" w:eastAsia="Arial" w:hAnsi="Arial" w:cs="Arial"/>
          <w:color w:val="000000"/>
          <w:spacing w:val="-2"/>
          <w:sz w:val="20"/>
          <w:szCs w:val="20"/>
          <w:lang w:val="nl-NL"/>
        </w:rPr>
        <w:t xml:space="preserve">Den Haag, </w:t>
      </w:r>
      <w:r w:rsidRPr="00BE757D">
        <w:rPr>
          <w:rFonts w:ascii="Arial" w:eastAsia="Arial" w:hAnsi="Arial" w:cs="Arial"/>
          <w:i/>
          <w:color w:val="000000"/>
          <w:spacing w:val="-2"/>
          <w:sz w:val="20"/>
          <w:szCs w:val="20"/>
          <w:lang w:val="nl-NL"/>
        </w:rPr>
        <w:t>datum</w:t>
      </w:r>
      <w:r w:rsidRPr="00BE757D">
        <w:rPr>
          <w:rFonts w:ascii="Arial" w:eastAsia="Arial" w:hAnsi="Arial" w:cs="Arial"/>
          <w:color w:val="000000"/>
          <w:spacing w:val="-2"/>
          <w:sz w:val="20"/>
          <w:szCs w:val="20"/>
          <w:lang w:val="nl-NL"/>
        </w:rPr>
        <w:t>:</w:t>
      </w:r>
      <w:r w:rsidRPr="00BE757D">
        <w:rPr>
          <w:rFonts w:ascii="Arial" w:eastAsia="Arial" w:hAnsi="Arial" w:cs="Arial"/>
          <w:color w:val="000000"/>
          <w:spacing w:val="-2"/>
          <w:sz w:val="20"/>
          <w:szCs w:val="20"/>
          <w:lang w:val="nl-NL"/>
        </w:rPr>
        <w:tab/>
        <w:t xml:space="preserve">Amsterdam, </w:t>
      </w:r>
      <w:r w:rsidRPr="00BE757D">
        <w:rPr>
          <w:rFonts w:ascii="Arial" w:eastAsia="Arial" w:hAnsi="Arial" w:cs="Arial"/>
          <w:i/>
          <w:color w:val="000000"/>
          <w:spacing w:val="-2"/>
          <w:sz w:val="20"/>
          <w:szCs w:val="20"/>
          <w:lang w:val="nl-NL"/>
        </w:rPr>
        <w:t>datum</w:t>
      </w:r>
      <w:r w:rsidRPr="00BE757D">
        <w:rPr>
          <w:rFonts w:ascii="Arial" w:eastAsia="Arial" w:hAnsi="Arial" w:cs="Arial"/>
          <w:color w:val="000000"/>
          <w:spacing w:val="-2"/>
          <w:sz w:val="20"/>
          <w:szCs w:val="20"/>
          <w:lang w:val="nl-NL"/>
        </w:rPr>
        <w:t>:</w:t>
      </w:r>
    </w:p>
    <w:p w:rsidR="00387D1A" w:rsidRPr="00BE757D" w:rsidRDefault="00925BEE">
      <w:pPr>
        <w:tabs>
          <w:tab w:val="left" w:pos="4104"/>
        </w:tabs>
        <w:spacing w:before="23" w:line="241" w:lineRule="exact"/>
        <w:textAlignment w:val="baseline"/>
        <w:rPr>
          <w:rFonts w:ascii="Arial" w:eastAsia="Arial" w:hAnsi="Arial" w:cs="Arial"/>
          <w:i/>
          <w:color w:val="000000"/>
          <w:spacing w:val="-1"/>
          <w:sz w:val="20"/>
          <w:szCs w:val="20"/>
          <w:lang w:val="nl-NL"/>
        </w:rPr>
      </w:pPr>
      <w:r w:rsidRPr="00BE757D">
        <w:rPr>
          <w:rFonts w:ascii="Arial" w:eastAsia="Arial" w:hAnsi="Arial" w:cs="Arial"/>
          <w:i/>
          <w:color w:val="000000"/>
          <w:spacing w:val="-1"/>
          <w:sz w:val="20"/>
          <w:szCs w:val="20"/>
          <w:lang w:val="nl-NL"/>
        </w:rPr>
        <w:t>handtekening</w:t>
      </w:r>
      <w:r w:rsidRPr="00BE757D">
        <w:rPr>
          <w:rFonts w:ascii="Arial" w:eastAsia="Arial" w:hAnsi="Arial" w:cs="Arial"/>
          <w:color w:val="000000"/>
          <w:spacing w:val="-1"/>
          <w:sz w:val="20"/>
          <w:szCs w:val="20"/>
          <w:lang w:val="nl-NL"/>
        </w:rPr>
        <w:t>:</w:t>
      </w:r>
      <w:r w:rsidRPr="00BE757D">
        <w:rPr>
          <w:rFonts w:ascii="Arial" w:eastAsia="Arial" w:hAnsi="Arial" w:cs="Arial"/>
          <w:color w:val="000000"/>
          <w:spacing w:val="-1"/>
          <w:sz w:val="20"/>
          <w:szCs w:val="20"/>
          <w:lang w:val="nl-NL"/>
        </w:rPr>
        <w:tab/>
      </w:r>
      <w:r w:rsidRPr="00BE757D">
        <w:rPr>
          <w:rFonts w:ascii="Arial" w:eastAsia="Arial" w:hAnsi="Arial" w:cs="Arial"/>
          <w:i/>
          <w:color w:val="000000"/>
          <w:spacing w:val="-1"/>
          <w:sz w:val="20"/>
          <w:szCs w:val="20"/>
          <w:lang w:val="nl-NL"/>
        </w:rPr>
        <w:t>handtekening</w:t>
      </w:r>
      <w:r w:rsidRPr="00BE757D">
        <w:rPr>
          <w:rFonts w:ascii="Arial" w:eastAsia="Arial" w:hAnsi="Arial" w:cs="Arial"/>
          <w:color w:val="000000"/>
          <w:spacing w:val="-1"/>
          <w:sz w:val="20"/>
          <w:szCs w:val="20"/>
          <w:lang w:val="nl-NL"/>
        </w:rPr>
        <w:t>:</w:t>
      </w:r>
    </w:p>
    <w:p w:rsidR="00387D1A" w:rsidRPr="00BE757D" w:rsidRDefault="00925BEE">
      <w:pPr>
        <w:tabs>
          <w:tab w:val="left" w:pos="4104"/>
        </w:tabs>
        <w:spacing w:before="1093" w:line="231" w:lineRule="exact"/>
        <w:textAlignment w:val="baseline"/>
        <w:rPr>
          <w:rFonts w:ascii="Arial" w:eastAsia="Arial" w:hAnsi="Arial" w:cs="Arial"/>
          <w:color w:val="000000"/>
          <w:spacing w:val="-2"/>
          <w:sz w:val="20"/>
          <w:szCs w:val="20"/>
          <w:lang w:val="nl-NL"/>
        </w:rPr>
      </w:pPr>
      <w:r w:rsidRPr="00BE757D">
        <w:rPr>
          <w:rFonts w:ascii="Arial" w:eastAsia="Arial" w:hAnsi="Arial" w:cs="Arial"/>
          <w:color w:val="000000"/>
          <w:spacing w:val="-2"/>
          <w:sz w:val="20"/>
          <w:szCs w:val="20"/>
          <w:lang w:val="nl-NL"/>
        </w:rPr>
        <w:t xml:space="preserve">R.R. </w:t>
      </w:r>
      <w:proofErr w:type="spellStart"/>
      <w:r w:rsidRPr="00BE757D">
        <w:rPr>
          <w:rFonts w:ascii="Arial" w:eastAsia="Arial" w:hAnsi="Arial" w:cs="Arial"/>
          <w:color w:val="000000"/>
          <w:spacing w:val="-2"/>
          <w:sz w:val="20"/>
          <w:szCs w:val="20"/>
          <w:lang w:val="nl-NL"/>
        </w:rPr>
        <w:t>Latenstein</w:t>
      </w:r>
      <w:proofErr w:type="spellEnd"/>
      <w:r w:rsidRPr="00BE757D">
        <w:rPr>
          <w:rFonts w:ascii="Arial" w:eastAsia="Arial" w:hAnsi="Arial" w:cs="Arial"/>
          <w:color w:val="000000"/>
          <w:spacing w:val="-2"/>
          <w:sz w:val="20"/>
          <w:szCs w:val="20"/>
          <w:lang w:val="nl-NL"/>
        </w:rPr>
        <w:t xml:space="preserve"> van Voorst MBA</w:t>
      </w:r>
      <w:r w:rsidRPr="00BE757D">
        <w:rPr>
          <w:rFonts w:ascii="Arial" w:eastAsia="Arial" w:hAnsi="Arial" w:cs="Arial"/>
          <w:color w:val="000000"/>
          <w:spacing w:val="-2"/>
          <w:sz w:val="20"/>
          <w:szCs w:val="20"/>
          <w:lang w:val="nl-NL"/>
        </w:rPr>
        <w:tab/>
      </w:r>
      <w:r w:rsidRPr="00BE757D">
        <w:rPr>
          <w:rFonts w:ascii="Arial" w:eastAsia="Arial" w:hAnsi="Arial" w:cs="Arial"/>
          <w:color w:val="000000"/>
          <w:spacing w:val="-2"/>
          <w:sz w:val="20"/>
          <w:szCs w:val="20"/>
          <w:lang w:val="nl-NL"/>
        </w:rPr>
        <w:t>mr. drs. B.J. Bruins</w:t>
      </w:r>
    </w:p>
    <w:p w:rsidR="00387D1A" w:rsidRPr="00BE757D" w:rsidRDefault="00925BEE">
      <w:pPr>
        <w:tabs>
          <w:tab w:val="left" w:pos="4104"/>
        </w:tabs>
        <w:spacing w:before="33" w:line="231" w:lineRule="exact"/>
        <w:textAlignment w:val="baseline"/>
        <w:rPr>
          <w:rFonts w:ascii="Arial" w:eastAsia="Arial" w:hAnsi="Arial" w:cs="Arial"/>
          <w:color w:val="000000"/>
          <w:spacing w:val="-2"/>
          <w:sz w:val="20"/>
          <w:szCs w:val="20"/>
          <w:lang w:val="nl-NL"/>
        </w:rPr>
      </w:pPr>
      <w:r w:rsidRPr="00BE757D">
        <w:rPr>
          <w:rFonts w:ascii="Arial" w:eastAsia="Arial" w:hAnsi="Arial" w:cs="Arial"/>
          <w:color w:val="000000"/>
          <w:spacing w:val="-2"/>
          <w:sz w:val="20"/>
          <w:szCs w:val="20"/>
          <w:lang w:val="nl-NL"/>
        </w:rPr>
        <w:t>voorzitter Verbond van Verzekeraars</w:t>
      </w:r>
      <w:r w:rsidRPr="00BE757D">
        <w:rPr>
          <w:rFonts w:ascii="Arial" w:eastAsia="Arial" w:hAnsi="Arial" w:cs="Arial"/>
          <w:color w:val="000000"/>
          <w:spacing w:val="-2"/>
          <w:sz w:val="20"/>
          <w:szCs w:val="20"/>
          <w:lang w:val="nl-NL"/>
        </w:rPr>
        <w:tab/>
        <w:t>voorzitter Raad van Bestuur</w:t>
      </w:r>
    </w:p>
    <w:p w:rsidR="00387D1A" w:rsidRPr="00BE757D" w:rsidRDefault="00925BEE">
      <w:pPr>
        <w:spacing w:before="33" w:line="231" w:lineRule="exact"/>
        <w:ind w:right="180"/>
        <w:jc w:val="righ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Uitvoeringsinstituut werknemersverzekeringen</w:t>
      </w:r>
    </w:p>
    <w:p w:rsidR="00387D1A" w:rsidRPr="00BE757D" w:rsidRDefault="00925BEE">
      <w:pPr>
        <w:spacing w:before="798" w:after="1130" w:line="259" w:lineRule="exact"/>
        <w:ind w:right="6768"/>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Den Haag, </w:t>
      </w:r>
      <w:r w:rsidRPr="00BE757D">
        <w:rPr>
          <w:rFonts w:ascii="Arial" w:eastAsia="Arial" w:hAnsi="Arial" w:cs="Arial"/>
          <w:i/>
          <w:color w:val="000000"/>
          <w:sz w:val="20"/>
          <w:szCs w:val="20"/>
          <w:lang w:val="nl-NL"/>
        </w:rPr>
        <w:t>datum</w:t>
      </w:r>
      <w:r w:rsidRPr="00BE757D">
        <w:rPr>
          <w:rFonts w:ascii="Arial" w:eastAsia="Arial" w:hAnsi="Arial" w:cs="Arial"/>
          <w:color w:val="000000"/>
          <w:sz w:val="20"/>
          <w:szCs w:val="20"/>
          <w:lang w:val="nl-NL"/>
        </w:rPr>
        <w:t xml:space="preserve">: </w:t>
      </w:r>
      <w:r w:rsidRPr="00BE757D">
        <w:rPr>
          <w:rFonts w:ascii="Arial" w:eastAsia="Arial" w:hAnsi="Arial" w:cs="Arial"/>
          <w:i/>
          <w:color w:val="000000"/>
          <w:sz w:val="20"/>
          <w:szCs w:val="20"/>
          <w:lang w:val="nl-NL"/>
        </w:rPr>
        <w:t>handtekening</w:t>
      </w:r>
      <w:r w:rsidRPr="00BE757D">
        <w:rPr>
          <w:rFonts w:ascii="Arial" w:eastAsia="Arial" w:hAnsi="Arial" w:cs="Arial"/>
          <w:color w:val="000000"/>
          <w:sz w:val="20"/>
          <w:szCs w:val="20"/>
          <w:lang w:val="nl-NL"/>
        </w:rPr>
        <w:t>:</w:t>
      </w:r>
    </w:p>
    <w:p w:rsidR="00387D1A" w:rsidRPr="00BE757D" w:rsidRDefault="00925BEE">
      <w:pPr>
        <w:spacing w:before="8" w:line="232"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 xml:space="preserve">mr. R. </w:t>
      </w:r>
      <w:proofErr w:type="spellStart"/>
      <w:r w:rsidRPr="00BE757D">
        <w:rPr>
          <w:rFonts w:ascii="Arial" w:eastAsia="Arial" w:hAnsi="Arial" w:cs="Arial"/>
          <w:color w:val="000000"/>
          <w:spacing w:val="-4"/>
          <w:sz w:val="20"/>
          <w:szCs w:val="20"/>
          <w:lang w:val="nl-NL"/>
        </w:rPr>
        <w:t>Weurding</w:t>
      </w:r>
      <w:proofErr w:type="spellEnd"/>
    </w:p>
    <w:p w:rsidR="00387D1A" w:rsidRPr="00BE757D" w:rsidRDefault="00925BEE">
      <w:pPr>
        <w:spacing w:line="233" w:lineRule="exact"/>
        <w:textAlignment w:val="baseline"/>
        <w:rPr>
          <w:rFonts w:ascii="Arial" w:eastAsia="Arial" w:hAnsi="Arial" w:cs="Arial"/>
          <w:color w:val="000000"/>
          <w:spacing w:val="-4"/>
          <w:sz w:val="20"/>
          <w:szCs w:val="20"/>
          <w:lang w:val="nl-NL"/>
        </w:rPr>
      </w:pPr>
      <w:r w:rsidRPr="00BE757D">
        <w:rPr>
          <w:rFonts w:ascii="Arial" w:eastAsia="Arial" w:hAnsi="Arial" w:cs="Arial"/>
          <w:color w:val="000000"/>
          <w:spacing w:val="-4"/>
          <w:sz w:val="20"/>
          <w:szCs w:val="20"/>
          <w:lang w:val="nl-NL"/>
        </w:rPr>
        <w:t xml:space="preserve">algemeen </w:t>
      </w:r>
      <w:r w:rsidRPr="00BE757D">
        <w:rPr>
          <w:rFonts w:ascii="Arial" w:eastAsia="Arial" w:hAnsi="Arial" w:cs="Arial"/>
          <w:color w:val="000000"/>
          <w:spacing w:val="-4"/>
          <w:sz w:val="20"/>
          <w:szCs w:val="20"/>
          <w:lang w:val="nl-NL"/>
        </w:rPr>
        <w:t xml:space="preserve">directeur </w:t>
      </w:r>
      <w:r w:rsidRPr="00BE757D">
        <w:rPr>
          <w:rFonts w:ascii="Arial" w:eastAsia="Arial" w:hAnsi="Arial" w:cs="Arial"/>
          <w:color w:val="000000"/>
          <w:spacing w:val="-4"/>
          <w:sz w:val="20"/>
          <w:szCs w:val="20"/>
          <w:lang w:val="nl-NL"/>
        </w:rPr>
        <w:t xml:space="preserve">Verbond </w:t>
      </w:r>
      <w:r w:rsidRPr="00BE757D">
        <w:rPr>
          <w:rFonts w:ascii="Arial" w:eastAsia="Arial" w:hAnsi="Arial" w:cs="Arial"/>
          <w:color w:val="000000"/>
          <w:spacing w:val="-4"/>
          <w:sz w:val="20"/>
          <w:szCs w:val="20"/>
          <w:lang w:val="nl-NL"/>
        </w:rPr>
        <w:t xml:space="preserve">van </w:t>
      </w:r>
      <w:r w:rsidRPr="00BE757D">
        <w:rPr>
          <w:rFonts w:ascii="Arial" w:eastAsia="Arial" w:hAnsi="Arial" w:cs="Arial"/>
          <w:color w:val="000000"/>
          <w:spacing w:val="-4"/>
          <w:sz w:val="20"/>
          <w:szCs w:val="20"/>
          <w:lang w:val="nl-NL"/>
        </w:rPr>
        <w:t>Verzekeraars</w:t>
      </w:r>
    </w:p>
    <w:p w:rsidR="00387D1A" w:rsidRPr="00BE757D" w:rsidRDefault="00387D1A">
      <w:pPr>
        <w:rPr>
          <w:rFonts w:ascii="Arial" w:hAnsi="Arial" w:cs="Arial"/>
          <w:sz w:val="20"/>
          <w:szCs w:val="20"/>
          <w:lang w:val="nl-NL"/>
        </w:rPr>
        <w:sectPr w:rsidR="00387D1A" w:rsidRPr="00BE757D">
          <w:pgSz w:w="11909" w:h="16838"/>
          <w:pgMar w:top="520" w:right="1655" w:bottom="189" w:left="1454" w:header="720" w:footer="720" w:gutter="0"/>
          <w:cols w:space="708"/>
        </w:sectPr>
      </w:pPr>
    </w:p>
    <w:p w:rsidR="00387D1A" w:rsidRPr="00BE757D" w:rsidRDefault="00925BEE">
      <w:pPr>
        <w:spacing w:before="5" w:line="221" w:lineRule="exact"/>
        <w:textAlignment w:val="baseline"/>
        <w:rPr>
          <w:rFonts w:ascii="Arial" w:eastAsia="Verdana" w:hAnsi="Arial" w:cs="Arial"/>
          <w:color w:val="000000"/>
          <w:sz w:val="20"/>
          <w:szCs w:val="20"/>
          <w:lang w:val="nl-NL"/>
        </w:rPr>
      </w:pPr>
      <w:r w:rsidRPr="00BE757D">
        <w:rPr>
          <w:rFonts w:ascii="Arial" w:eastAsia="Verdana" w:hAnsi="Arial" w:cs="Arial"/>
          <w:color w:val="000000"/>
          <w:sz w:val="20"/>
          <w:szCs w:val="20"/>
          <w:lang w:val="nl-NL"/>
        </w:rPr>
        <w:lastRenderedPageBreak/>
        <w:t>Toelichting Convenant Verjaring</w:t>
      </w:r>
    </w:p>
    <w:p w:rsidR="00387D1A" w:rsidRPr="00BE757D" w:rsidRDefault="00925BEE">
      <w:pPr>
        <w:spacing w:before="658" w:line="230" w:lineRule="exact"/>
        <w:ind w:right="288"/>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Convenant inzake verjaring en de regeling van enkele discussiepunten tussen het Verbond van Verzekeraars en het Uitvoeringsinstituut werknemersverzekeringen</w:t>
      </w:r>
    </w:p>
    <w:p w:rsidR="00387D1A" w:rsidRPr="00BE757D" w:rsidRDefault="00925BEE">
      <w:pPr>
        <w:spacing w:before="690" w:line="232"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TOELICHTING CONVENANT VERJARING</w:t>
      </w:r>
    </w:p>
    <w:p w:rsidR="00387D1A" w:rsidRPr="00BE757D" w:rsidRDefault="00925BEE">
      <w:pPr>
        <w:spacing w:before="684" w:line="232"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Algemene toelichting</w:t>
      </w:r>
    </w:p>
    <w:p w:rsidR="00387D1A" w:rsidRPr="00BE757D" w:rsidRDefault="00925BEE">
      <w:pPr>
        <w:spacing w:before="237" w:line="230" w:lineRule="exact"/>
        <w:textAlignment w:val="baseline"/>
        <w:rPr>
          <w:rFonts w:ascii="Arial" w:eastAsia="Arial" w:hAnsi="Arial" w:cs="Arial"/>
          <w:color w:val="000000"/>
          <w:spacing w:val="-1"/>
          <w:sz w:val="20"/>
          <w:szCs w:val="20"/>
          <w:lang w:val="nl-NL"/>
        </w:rPr>
      </w:pPr>
      <w:r w:rsidRPr="00BE757D">
        <w:rPr>
          <w:rFonts w:ascii="Arial" w:eastAsia="Arial" w:hAnsi="Arial" w:cs="Arial"/>
          <w:color w:val="000000"/>
          <w:spacing w:val="-1"/>
          <w:sz w:val="20"/>
          <w:szCs w:val="20"/>
          <w:lang w:val="nl-NL"/>
        </w:rPr>
        <w:t>Op grond van de artikelen 52a en 52b Ziektewet</w:t>
      </w:r>
      <w:r w:rsidRPr="00BE757D">
        <w:rPr>
          <w:rFonts w:ascii="Arial" w:eastAsia="Arial" w:hAnsi="Arial" w:cs="Arial"/>
          <w:color w:val="000000"/>
          <w:spacing w:val="-1"/>
          <w:sz w:val="20"/>
          <w:szCs w:val="20"/>
          <w:lang w:val="nl-NL"/>
        </w:rPr>
        <w:t xml:space="preserve"> (ZW), de artikelen 90, lid 1 en 91 Wet op de Arbeidsongeschiktheidsverzekering (WAO), artikel 69 Wet op de Arbeidsongeschiktheidsverzekering Zelfstandigen (</w:t>
      </w:r>
      <w:proofErr w:type="spellStart"/>
      <w:r w:rsidRPr="00BE757D">
        <w:rPr>
          <w:rFonts w:ascii="Arial" w:eastAsia="Arial" w:hAnsi="Arial" w:cs="Arial"/>
          <w:color w:val="000000"/>
          <w:spacing w:val="-1"/>
          <w:sz w:val="20"/>
          <w:szCs w:val="20"/>
          <w:lang w:val="nl-NL"/>
        </w:rPr>
        <w:t>Waz</w:t>
      </w:r>
      <w:proofErr w:type="spellEnd"/>
      <w:r w:rsidRPr="00BE757D">
        <w:rPr>
          <w:rFonts w:ascii="Arial" w:eastAsia="Arial" w:hAnsi="Arial" w:cs="Arial"/>
          <w:color w:val="000000"/>
          <w:spacing w:val="-1"/>
          <w:sz w:val="20"/>
          <w:szCs w:val="20"/>
          <w:lang w:val="nl-NL"/>
        </w:rPr>
        <w:t>), artikel 4:2 Wet Werk en Arbeidsondersteuning jonggehandicapten (Wet Wajong</w:t>
      </w:r>
      <w:r w:rsidRPr="00BE757D">
        <w:rPr>
          <w:rFonts w:ascii="Arial" w:eastAsia="Arial" w:hAnsi="Arial" w:cs="Arial"/>
          <w:color w:val="000000"/>
          <w:spacing w:val="-1"/>
          <w:sz w:val="20"/>
          <w:szCs w:val="20"/>
          <w:lang w:val="nl-NL"/>
        </w:rPr>
        <w:t>1</w:t>
      </w:r>
      <w:r w:rsidRPr="00BE757D">
        <w:rPr>
          <w:rFonts w:ascii="Arial" w:eastAsia="Arial" w:hAnsi="Arial" w:cs="Arial"/>
          <w:color w:val="000000"/>
          <w:spacing w:val="-1"/>
          <w:sz w:val="20"/>
          <w:szCs w:val="20"/>
          <w:lang w:val="nl-NL"/>
        </w:rPr>
        <w:t>) en artikel 99 We</w:t>
      </w:r>
      <w:r w:rsidRPr="00BE757D">
        <w:rPr>
          <w:rFonts w:ascii="Arial" w:eastAsia="Arial" w:hAnsi="Arial" w:cs="Arial"/>
          <w:color w:val="000000"/>
          <w:spacing w:val="-1"/>
          <w:sz w:val="20"/>
          <w:szCs w:val="20"/>
          <w:lang w:val="nl-NL"/>
        </w:rPr>
        <w:t>t Werk en Inkomen naar Arbeidsvermogen (WIA), heeft UWV de mogelijkheid om de krachtens deze wetten gemaakte kosten te verhalen op degene die in verband met het veroorzaken van de ongeschiktheid tot werken jegens de uitkeringsgerechtigde naar burgerlijk re</w:t>
      </w:r>
      <w:r w:rsidRPr="00BE757D">
        <w:rPr>
          <w:rFonts w:ascii="Arial" w:eastAsia="Arial" w:hAnsi="Arial" w:cs="Arial"/>
          <w:color w:val="000000"/>
          <w:spacing w:val="-1"/>
          <w:sz w:val="20"/>
          <w:szCs w:val="20"/>
          <w:lang w:val="nl-NL"/>
        </w:rPr>
        <w:t>cht tot schadevergoeding verplicht is.</w:t>
      </w:r>
    </w:p>
    <w:p w:rsidR="00387D1A" w:rsidRPr="00BE757D" w:rsidRDefault="00925BEE">
      <w:pPr>
        <w:spacing w:before="229" w:line="230" w:lineRule="exact"/>
        <w:ind w:right="504"/>
        <w:textAlignment w:val="baseline"/>
        <w:rPr>
          <w:rFonts w:ascii="Arial" w:eastAsia="Arial" w:hAnsi="Arial" w:cs="Arial"/>
          <w:color w:val="000000"/>
          <w:spacing w:val="-1"/>
          <w:sz w:val="20"/>
          <w:szCs w:val="20"/>
          <w:lang w:val="nl-NL"/>
        </w:rPr>
      </w:pPr>
      <w:r w:rsidRPr="00BE757D">
        <w:rPr>
          <w:rFonts w:ascii="Arial" w:eastAsia="Arial" w:hAnsi="Arial" w:cs="Arial"/>
          <w:color w:val="000000"/>
          <w:spacing w:val="-1"/>
          <w:sz w:val="20"/>
          <w:szCs w:val="20"/>
          <w:lang w:val="nl-NL"/>
        </w:rPr>
        <w:t xml:space="preserve">De regresvordering moet tijdig worden ingesteld. Algemeen geldt op basis van artikel 3:310 BW dat </w:t>
      </w:r>
      <w:r w:rsidRPr="00BE757D">
        <w:rPr>
          <w:rFonts w:ascii="Arial" w:eastAsia="Arial" w:hAnsi="Arial" w:cs="Arial"/>
          <w:color w:val="000000"/>
          <w:spacing w:val="-1"/>
          <w:sz w:val="20"/>
          <w:szCs w:val="20"/>
          <w:lang w:val="nl-NL"/>
        </w:rPr>
        <w:t xml:space="preserve">de vordering tot vergoeding van schade verjaart door verloop van een termijn van 5 jaar ‘na de </w:t>
      </w:r>
      <w:r w:rsidRPr="00BE757D">
        <w:rPr>
          <w:rFonts w:ascii="Arial" w:eastAsia="Arial" w:hAnsi="Arial" w:cs="Arial"/>
          <w:color w:val="000000"/>
          <w:spacing w:val="-1"/>
          <w:sz w:val="20"/>
          <w:szCs w:val="20"/>
          <w:lang w:val="nl-NL"/>
        </w:rPr>
        <w:t>aanvang van de dag, volg</w:t>
      </w:r>
      <w:r w:rsidRPr="00BE757D">
        <w:rPr>
          <w:rFonts w:ascii="Arial" w:eastAsia="Arial" w:hAnsi="Arial" w:cs="Arial"/>
          <w:color w:val="000000"/>
          <w:spacing w:val="-1"/>
          <w:sz w:val="20"/>
          <w:szCs w:val="20"/>
          <w:lang w:val="nl-NL"/>
        </w:rPr>
        <w:t xml:space="preserve">ende op die waarop de benadeelde zowel met de schade als met de </w:t>
      </w:r>
      <w:r w:rsidRPr="00BE757D">
        <w:rPr>
          <w:rFonts w:ascii="Arial" w:eastAsia="Arial" w:hAnsi="Arial" w:cs="Arial"/>
          <w:color w:val="000000"/>
          <w:spacing w:val="-1"/>
          <w:sz w:val="20"/>
          <w:szCs w:val="20"/>
          <w:lang w:val="nl-NL"/>
        </w:rPr>
        <w:t xml:space="preserve">daarvoor aansprakelijke persoon bekend is geworden’. Verzekeraars en UWV hebben verschil van </w:t>
      </w:r>
      <w:r w:rsidRPr="00BE757D">
        <w:rPr>
          <w:rFonts w:ascii="Arial" w:eastAsia="Arial" w:hAnsi="Arial" w:cs="Arial"/>
          <w:color w:val="000000"/>
          <w:spacing w:val="-1"/>
          <w:sz w:val="20"/>
          <w:szCs w:val="20"/>
          <w:lang w:val="nl-NL"/>
        </w:rPr>
        <w:t>mening over de interpretatie van dit wetsartikel. Wanneer is er sprake van (subjectieve) bekendheid</w:t>
      </w:r>
      <w:r w:rsidRPr="00BE757D">
        <w:rPr>
          <w:rFonts w:ascii="Arial" w:eastAsia="Arial" w:hAnsi="Arial" w:cs="Arial"/>
          <w:color w:val="000000"/>
          <w:spacing w:val="-1"/>
          <w:sz w:val="20"/>
          <w:szCs w:val="20"/>
          <w:lang w:val="nl-NL"/>
        </w:rPr>
        <w:t xml:space="preserve"> van UWV met dader en schade, waardoor de verjaringstermijn een aanvang neemt? Het arrest van de Hoge Raad van 27 januari 2007, LJN: ZA 4566 heeft daarin geen duidelijkheid geschapen.</w:t>
      </w:r>
    </w:p>
    <w:p w:rsidR="00387D1A" w:rsidRPr="00BE757D" w:rsidRDefault="00925BEE">
      <w:pPr>
        <w:spacing w:before="228" w:line="230" w:lineRule="exact"/>
        <w:ind w:right="432"/>
        <w:textAlignment w:val="baseline"/>
        <w:rPr>
          <w:rFonts w:ascii="Arial" w:eastAsia="Arial" w:hAnsi="Arial" w:cs="Arial"/>
          <w:color w:val="000000"/>
          <w:spacing w:val="-1"/>
          <w:sz w:val="20"/>
          <w:szCs w:val="20"/>
          <w:lang w:val="nl-NL"/>
        </w:rPr>
      </w:pPr>
      <w:r w:rsidRPr="00BE757D">
        <w:rPr>
          <w:rFonts w:ascii="Arial" w:eastAsia="Arial" w:hAnsi="Arial" w:cs="Arial"/>
          <w:color w:val="000000"/>
          <w:spacing w:val="-1"/>
          <w:sz w:val="20"/>
          <w:szCs w:val="20"/>
          <w:lang w:val="nl-NL"/>
        </w:rPr>
        <w:t>Voorts is er een aantal bij de praktische regeling van regresvorderingen</w:t>
      </w:r>
      <w:r w:rsidRPr="00BE757D">
        <w:rPr>
          <w:rFonts w:ascii="Arial" w:eastAsia="Arial" w:hAnsi="Arial" w:cs="Arial"/>
          <w:color w:val="000000"/>
          <w:spacing w:val="-1"/>
          <w:sz w:val="20"/>
          <w:szCs w:val="20"/>
          <w:lang w:val="nl-NL"/>
        </w:rPr>
        <w:t xml:space="preserve"> steeds weer terugkerende discussiepunten, te weten de regresvorderingen die vallen onder het aansprakelijkheidsregime van artikel 185 Wegenverkeerswet (WVW) en de regresvorderingen inzake het niet gebruiken van de veiligheidsgordel. Met betrekking tot bei</w:t>
      </w:r>
      <w:r w:rsidRPr="00BE757D">
        <w:rPr>
          <w:rFonts w:ascii="Arial" w:eastAsia="Arial" w:hAnsi="Arial" w:cs="Arial"/>
          <w:color w:val="000000"/>
          <w:spacing w:val="-1"/>
          <w:sz w:val="20"/>
          <w:szCs w:val="20"/>
          <w:lang w:val="nl-NL"/>
        </w:rPr>
        <w:t>de discussiepunten zijn tussen UWV en verzekeraars bilaterale afspraken gemaakt. Teneinde een vlotte afwikkeling in dit soort regreszaken te bevorderen hebben partijen ervoor gekozen deze afspraken te veralgemeniseren en op te nemen in dit</w:t>
      </w:r>
    </w:p>
    <w:p w:rsidR="00387D1A" w:rsidRPr="00BE757D" w:rsidRDefault="00925BEE">
      <w:pPr>
        <w:spacing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convenant.</w:t>
      </w:r>
    </w:p>
    <w:p w:rsidR="00387D1A" w:rsidRPr="00BE757D" w:rsidRDefault="00925BEE">
      <w:pPr>
        <w:spacing w:before="456" w:line="232" w:lineRule="exact"/>
        <w:textAlignment w:val="baseline"/>
        <w:rPr>
          <w:rFonts w:ascii="Arial" w:eastAsia="Arial" w:hAnsi="Arial" w:cs="Arial"/>
          <w:b/>
          <w:color w:val="000000"/>
          <w:sz w:val="20"/>
          <w:szCs w:val="20"/>
          <w:lang w:val="nl-NL"/>
        </w:rPr>
      </w:pPr>
      <w:proofErr w:type="spellStart"/>
      <w:r w:rsidRPr="00BE757D">
        <w:rPr>
          <w:rFonts w:ascii="Arial" w:eastAsia="Arial" w:hAnsi="Arial" w:cs="Arial"/>
          <w:b/>
          <w:color w:val="000000"/>
          <w:sz w:val="20"/>
          <w:szCs w:val="20"/>
          <w:lang w:val="nl-NL"/>
        </w:rPr>
        <w:t>Artikelsgewijze</w:t>
      </w:r>
      <w:proofErr w:type="spellEnd"/>
      <w:r w:rsidRPr="00BE757D">
        <w:rPr>
          <w:rFonts w:ascii="Arial" w:eastAsia="Arial" w:hAnsi="Arial" w:cs="Arial"/>
          <w:b/>
          <w:color w:val="000000"/>
          <w:sz w:val="20"/>
          <w:szCs w:val="20"/>
          <w:lang w:val="nl-NL"/>
        </w:rPr>
        <w:t xml:space="preserve"> toelichting</w:t>
      </w:r>
    </w:p>
    <w:p w:rsidR="00387D1A" w:rsidRPr="00BE757D" w:rsidRDefault="00925BEE">
      <w:pPr>
        <w:spacing w:before="228" w:line="232"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1. Regeling verjaring van regresvorderingen</w:t>
      </w:r>
    </w:p>
    <w:p w:rsidR="00387D1A" w:rsidRPr="00BE757D" w:rsidRDefault="00925BEE">
      <w:pPr>
        <w:spacing w:before="235"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Eigen aanvangsdatum van de verjaringstermijn voor regresvorderingen van UWV</w:t>
      </w:r>
    </w:p>
    <w:p w:rsidR="00387D1A" w:rsidRPr="00BE757D" w:rsidRDefault="00925BEE">
      <w:pPr>
        <w:spacing w:before="227" w:line="230" w:lineRule="exact"/>
        <w:ind w:right="792"/>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Op grond van artikel 3:310 BW verjaart een vordering tot schadevergoeding door verloop van vijf (5) jaar na de aanvang van de dag, volgende op die waarop de benadeelde zowel met de schade als met de aansprakelijke persoon bekend is geworden.</w:t>
      </w:r>
    </w:p>
    <w:p w:rsidR="00387D1A" w:rsidRPr="00BE757D" w:rsidRDefault="00925BEE">
      <w:pPr>
        <w:spacing w:before="2" w:line="230" w:lineRule="exact"/>
        <w:ind w:right="504"/>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Het arrest van</w:t>
      </w:r>
      <w:r w:rsidRPr="00BE757D">
        <w:rPr>
          <w:rFonts w:ascii="Arial" w:eastAsia="Arial" w:hAnsi="Arial" w:cs="Arial"/>
          <w:color w:val="000000"/>
          <w:sz w:val="20"/>
          <w:szCs w:val="20"/>
          <w:lang w:val="nl-NL"/>
        </w:rPr>
        <w:t xml:space="preserve"> de Hoge Raad d.d. 27 januari 2007, LJN: AZ 4566 maakt duidelijk dat UWV een eigen aanvangsdatum voor de verjaringstermijn heeft. Maar wanneer die termijn aanvangt vermeldt het arrest niet. Het enige dat het arrest duidelijk maakt, is dat UWV niet kan gaan</w:t>
      </w:r>
      <w:r w:rsidRPr="00BE757D">
        <w:rPr>
          <w:rFonts w:ascii="Arial" w:eastAsia="Arial" w:hAnsi="Arial" w:cs="Arial"/>
          <w:color w:val="000000"/>
          <w:sz w:val="20"/>
          <w:szCs w:val="20"/>
          <w:lang w:val="nl-NL"/>
        </w:rPr>
        <w:t xml:space="preserve"> vorderen wanneer haar verzekerde zelf dat niet meer kan, omdat hij verjaring tegen zich moet laten gelden. Kortom, heeft de verzekerde van UWV niet binnen 5 jaar na (subjectieve) kennis van schade en dader de verjaring gestuit, dan kan UWV dat ook niet me</w:t>
      </w:r>
      <w:r w:rsidRPr="00BE757D">
        <w:rPr>
          <w:rFonts w:ascii="Arial" w:eastAsia="Arial" w:hAnsi="Arial" w:cs="Arial"/>
          <w:color w:val="000000"/>
          <w:sz w:val="20"/>
          <w:szCs w:val="20"/>
          <w:lang w:val="nl-NL"/>
        </w:rPr>
        <w:t>er. De Hoge Raad zegt</w:t>
      </w:r>
    </w:p>
    <w:p w:rsidR="00387D1A" w:rsidRPr="00BE757D" w:rsidRDefault="00925BEE">
      <w:pPr>
        <w:spacing w:before="458" w:after="179" w:line="230" w:lineRule="exact"/>
        <w:ind w:right="936"/>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niet wanneer de termijn van UWV aanvangt, maar duidelijk is wel dat die van geval tot geval zal verschillen. Partijen geven verschillende interpretaties aan het arrest van de Hoge Raad, in concrete gevallen leidend tot verschil van in</w:t>
      </w:r>
      <w:r w:rsidRPr="00BE757D">
        <w:rPr>
          <w:rFonts w:ascii="Arial" w:eastAsia="Arial" w:hAnsi="Arial" w:cs="Arial"/>
          <w:color w:val="000000"/>
          <w:sz w:val="20"/>
          <w:szCs w:val="20"/>
          <w:lang w:val="nl-NL"/>
        </w:rPr>
        <w:t>zicht met betrekking tot de aanvangsdatum van de verjaringstermijn.</w:t>
      </w:r>
    </w:p>
    <w:p w:rsidR="00387D1A" w:rsidRPr="00BE757D" w:rsidRDefault="00387D1A">
      <w:pPr>
        <w:spacing w:before="134" w:line="203" w:lineRule="exact"/>
        <w:ind w:right="792"/>
        <w:textAlignment w:val="baseline"/>
        <w:rPr>
          <w:rFonts w:ascii="Arial" w:eastAsia="Verdana" w:hAnsi="Arial" w:cs="Arial"/>
          <w:color w:val="000000"/>
          <w:sz w:val="20"/>
          <w:szCs w:val="20"/>
          <w:lang w:val="nl-NL"/>
        </w:rPr>
      </w:pPr>
      <w:r w:rsidRPr="00BE757D">
        <w:rPr>
          <w:rFonts w:ascii="Arial" w:hAnsi="Arial" w:cs="Arial"/>
          <w:sz w:val="20"/>
          <w:szCs w:val="20"/>
        </w:rPr>
        <w:pict>
          <v:line id="_x0000_s1029" style="position:absolute;z-index:251657728;mso-position-horizontal-relative:page;mso-position-vertical-relative:page" from="76.3pt,744.5pt" to="220.85pt,744.5pt" strokeweight=".7pt">
            <w10:wrap anchorx="page" anchory="page"/>
          </v:line>
        </w:pict>
      </w:r>
      <w:r w:rsidR="00925BEE" w:rsidRPr="00BE757D">
        <w:rPr>
          <w:rFonts w:ascii="Arial" w:eastAsia="Verdana" w:hAnsi="Arial" w:cs="Arial"/>
          <w:color w:val="000000"/>
          <w:sz w:val="20"/>
          <w:szCs w:val="20"/>
          <w:lang w:val="nl-NL"/>
        </w:rPr>
        <w:t xml:space="preserve">1 </w:t>
      </w:r>
      <w:r w:rsidR="00925BEE" w:rsidRPr="00BE757D">
        <w:rPr>
          <w:rFonts w:ascii="Arial" w:eastAsia="Verdana" w:hAnsi="Arial" w:cs="Arial"/>
          <w:color w:val="000000"/>
          <w:sz w:val="20"/>
          <w:szCs w:val="20"/>
          <w:lang w:val="nl-NL"/>
        </w:rPr>
        <w:t xml:space="preserve">De term </w:t>
      </w:r>
      <w:r w:rsidR="00925BEE" w:rsidRPr="00BE757D">
        <w:rPr>
          <w:rFonts w:ascii="Arial" w:eastAsia="Verdana" w:hAnsi="Arial" w:cs="Arial"/>
          <w:i/>
          <w:color w:val="000000"/>
          <w:sz w:val="20"/>
          <w:szCs w:val="20"/>
          <w:lang w:val="nl-NL"/>
        </w:rPr>
        <w:t xml:space="preserve">Wet </w:t>
      </w:r>
      <w:proofErr w:type="spellStart"/>
      <w:r w:rsidR="00925BEE" w:rsidRPr="00BE757D">
        <w:rPr>
          <w:rFonts w:ascii="Arial" w:eastAsia="Verdana" w:hAnsi="Arial" w:cs="Arial"/>
          <w:i/>
          <w:color w:val="000000"/>
          <w:sz w:val="20"/>
          <w:szCs w:val="20"/>
          <w:lang w:val="nl-NL"/>
        </w:rPr>
        <w:t>Wafong</w:t>
      </w:r>
      <w:proofErr w:type="spellEnd"/>
      <w:r w:rsidR="00925BEE" w:rsidRPr="00BE757D">
        <w:rPr>
          <w:rFonts w:ascii="Arial" w:eastAsia="Verdana" w:hAnsi="Arial" w:cs="Arial"/>
          <w:i/>
          <w:color w:val="000000"/>
          <w:sz w:val="20"/>
          <w:szCs w:val="20"/>
          <w:lang w:val="nl-NL"/>
        </w:rPr>
        <w:t xml:space="preserve"> </w:t>
      </w:r>
      <w:r w:rsidR="00925BEE" w:rsidRPr="00BE757D">
        <w:rPr>
          <w:rFonts w:ascii="Arial" w:eastAsia="Verdana" w:hAnsi="Arial" w:cs="Arial"/>
          <w:color w:val="000000"/>
          <w:sz w:val="20"/>
          <w:szCs w:val="20"/>
          <w:lang w:val="nl-NL"/>
        </w:rPr>
        <w:t xml:space="preserve">wordt gebruikt voor de in 2010 in werking getreden versie, bijvoorbeeld in de titel </w:t>
      </w:r>
      <w:r w:rsidR="00925BEE" w:rsidRPr="00BE757D">
        <w:rPr>
          <w:rFonts w:ascii="Arial" w:eastAsia="Verdana" w:hAnsi="Arial" w:cs="Arial"/>
          <w:i/>
          <w:color w:val="000000"/>
          <w:sz w:val="20"/>
          <w:szCs w:val="20"/>
          <w:lang w:val="nl-NL"/>
        </w:rPr>
        <w:t xml:space="preserve">Besluit uitbreiding en beperking kring ingezetenen Wet </w:t>
      </w:r>
      <w:proofErr w:type="spellStart"/>
      <w:r w:rsidR="00925BEE" w:rsidRPr="00BE757D">
        <w:rPr>
          <w:rFonts w:ascii="Arial" w:eastAsia="Verdana" w:hAnsi="Arial" w:cs="Arial"/>
          <w:i/>
          <w:color w:val="000000"/>
          <w:sz w:val="20"/>
          <w:szCs w:val="20"/>
          <w:lang w:val="nl-NL"/>
        </w:rPr>
        <w:t>Wafong</w:t>
      </w:r>
      <w:proofErr w:type="spellEnd"/>
      <w:r w:rsidR="00925BEE" w:rsidRPr="00BE757D">
        <w:rPr>
          <w:rFonts w:ascii="Arial" w:eastAsia="Verdana" w:hAnsi="Arial" w:cs="Arial"/>
          <w:color w:val="000000"/>
          <w:sz w:val="20"/>
          <w:szCs w:val="20"/>
          <w:lang w:val="nl-NL"/>
        </w:rPr>
        <w:t>, ter onderscheiding van de oude versie.</w:t>
      </w:r>
    </w:p>
    <w:p w:rsidR="00387D1A" w:rsidRPr="00BE757D" w:rsidRDefault="00387D1A">
      <w:pPr>
        <w:rPr>
          <w:rFonts w:ascii="Arial" w:hAnsi="Arial" w:cs="Arial"/>
          <w:sz w:val="20"/>
          <w:szCs w:val="20"/>
          <w:lang w:val="nl-NL"/>
        </w:rPr>
        <w:sectPr w:rsidR="00387D1A" w:rsidRPr="00BE757D">
          <w:pgSz w:w="11904" w:h="16838"/>
          <w:pgMar w:top="700" w:right="1018" w:bottom="864" w:left="1526" w:header="720" w:footer="720" w:gutter="0"/>
          <w:cols w:space="708"/>
        </w:sectPr>
      </w:pPr>
    </w:p>
    <w:p w:rsidR="00387D1A" w:rsidRPr="00BE757D" w:rsidRDefault="00387D1A">
      <w:pPr>
        <w:spacing w:before="5" w:line="221" w:lineRule="exact"/>
        <w:textAlignment w:val="baseline"/>
        <w:rPr>
          <w:rFonts w:ascii="Arial" w:eastAsia="Verdana" w:hAnsi="Arial" w:cs="Arial"/>
          <w:color w:val="000000"/>
          <w:sz w:val="20"/>
          <w:szCs w:val="20"/>
          <w:lang w:val="nl-NL"/>
        </w:rPr>
      </w:pPr>
      <w:r w:rsidRPr="00BE757D">
        <w:rPr>
          <w:rFonts w:ascii="Arial" w:hAnsi="Arial" w:cs="Arial"/>
          <w:sz w:val="20"/>
          <w:szCs w:val="20"/>
        </w:rPr>
        <w:lastRenderedPageBreak/>
        <w:pict>
          <v:shape id="_x0000_s1028" type="#_x0000_t202" style="position:absolute;margin-left:508.15pt;margin-top:779.35pt;width:15.2pt;height:13.25pt;z-index:-251649536;mso-wrap-distance-left:0;mso-wrap-distance-right:0;mso-position-horizontal-relative:page;mso-position-vertical-relative:page" filled="f" stroked="f">
            <v:textbox inset="0,0,0,0">
              <w:txbxContent>
                <w:p w:rsidR="00387D1A" w:rsidRDefault="00925BEE">
                  <w:pPr>
                    <w:spacing w:line="253" w:lineRule="exact"/>
                    <w:textAlignment w:val="baseline"/>
                    <w:rPr>
                      <w:rFonts w:eastAsia="Times New Roman"/>
                      <w:color w:val="000000"/>
                      <w:sz w:val="23"/>
                    </w:rPr>
                  </w:pPr>
                  <w:r>
                    <w:rPr>
                      <w:rFonts w:eastAsia="Times New Roman"/>
                      <w:color w:val="000000"/>
                      <w:sz w:val="23"/>
                    </w:rPr>
                    <w:t>2</w:t>
                  </w:r>
                </w:p>
              </w:txbxContent>
            </v:textbox>
            <w10:wrap type="square" anchorx="page" anchory="page"/>
          </v:shape>
        </w:pict>
      </w:r>
      <w:r w:rsidR="00925BEE" w:rsidRPr="00BE757D">
        <w:rPr>
          <w:rFonts w:ascii="Arial" w:eastAsia="Verdana" w:hAnsi="Arial" w:cs="Arial"/>
          <w:color w:val="000000"/>
          <w:sz w:val="20"/>
          <w:szCs w:val="20"/>
          <w:lang w:val="nl-NL"/>
        </w:rPr>
        <w:t>Toelichting Convenant Verjaring</w:t>
      </w:r>
    </w:p>
    <w:p w:rsidR="00387D1A" w:rsidRPr="00BE757D" w:rsidRDefault="00925BEE">
      <w:pPr>
        <w:spacing w:before="893"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Om problemen met betrekking tot interpretatie en bewijs van het begrip ‘bekendheid met de schade en de daarvoor aansprakelijke persoon’ te voorkomen, hebben par</w:t>
      </w:r>
      <w:r w:rsidRPr="00BE757D">
        <w:rPr>
          <w:rFonts w:ascii="Arial" w:eastAsia="Arial" w:hAnsi="Arial" w:cs="Arial"/>
          <w:color w:val="000000"/>
          <w:sz w:val="20"/>
          <w:szCs w:val="20"/>
          <w:lang w:val="nl-NL"/>
        </w:rPr>
        <w:t xml:space="preserve">tijen afgesproken een </w:t>
      </w:r>
      <w:r w:rsidRPr="00BE757D">
        <w:rPr>
          <w:rFonts w:ascii="Arial" w:eastAsia="Arial" w:hAnsi="Arial" w:cs="Arial"/>
          <w:color w:val="000000"/>
          <w:sz w:val="20"/>
          <w:szCs w:val="20"/>
          <w:lang w:val="nl-NL"/>
        </w:rPr>
        <w:t>eenduidige, in de praktijk werkbare regeling af te spreken.</w:t>
      </w:r>
    </w:p>
    <w:p w:rsidR="00387D1A" w:rsidRPr="00BE757D" w:rsidRDefault="00925BEE">
      <w:pPr>
        <w:spacing w:before="226" w:line="230" w:lineRule="exact"/>
        <w:ind w:right="72"/>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De regeling is gesplitst in een verjaringsregime van regresvorderingen betreffende uitkeringen ZW, WAO, </w:t>
      </w:r>
      <w:proofErr w:type="spellStart"/>
      <w:r w:rsidRPr="00BE757D">
        <w:rPr>
          <w:rFonts w:ascii="Arial" w:eastAsia="Arial" w:hAnsi="Arial" w:cs="Arial"/>
          <w:color w:val="000000"/>
          <w:sz w:val="20"/>
          <w:szCs w:val="20"/>
          <w:lang w:val="nl-NL"/>
        </w:rPr>
        <w:t>Waz</w:t>
      </w:r>
      <w:proofErr w:type="spellEnd"/>
      <w:r w:rsidRPr="00BE757D">
        <w:rPr>
          <w:rFonts w:ascii="Arial" w:eastAsia="Arial" w:hAnsi="Arial" w:cs="Arial"/>
          <w:color w:val="000000"/>
          <w:sz w:val="20"/>
          <w:szCs w:val="20"/>
          <w:lang w:val="nl-NL"/>
        </w:rPr>
        <w:t xml:space="preserve"> en WIA en een verjaringsregime van regresvorderingen krachtens de Wet </w:t>
      </w:r>
      <w:proofErr w:type="spellStart"/>
      <w:r w:rsidRPr="00BE757D">
        <w:rPr>
          <w:rFonts w:ascii="Arial" w:eastAsia="Arial" w:hAnsi="Arial" w:cs="Arial"/>
          <w:color w:val="000000"/>
          <w:sz w:val="20"/>
          <w:szCs w:val="20"/>
          <w:lang w:val="nl-NL"/>
        </w:rPr>
        <w:t>Wajong</w:t>
      </w:r>
      <w:proofErr w:type="spellEnd"/>
      <w:r w:rsidRPr="00BE757D">
        <w:rPr>
          <w:rFonts w:ascii="Arial" w:eastAsia="Arial" w:hAnsi="Arial" w:cs="Arial"/>
          <w:color w:val="000000"/>
          <w:sz w:val="20"/>
          <w:szCs w:val="20"/>
          <w:lang w:val="nl-NL"/>
        </w:rPr>
        <w:t xml:space="preserve"> als gevolg van een ongeval vóór c.q. na 1 februari 2004.</w:t>
      </w:r>
    </w:p>
    <w:p w:rsidR="00387D1A" w:rsidRPr="00BE757D" w:rsidRDefault="00925BEE">
      <w:pPr>
        <w:numPr>
          <w:ilvl w:val="0"/>
          <w:numId w:val="2"/>
        </w:numPr>
        <w:spacing w:before="464" w:line="226" w:lineRule="exact"/>
        <w:ind w:left="0"/>
        <w:textAlignment w:val="baseline"/>
        <w:rPr>
          <w:rFonts w:ascii="Arial" w:eastAsia="Arial" w:hAnsi="Arial" w:cs="Arial"/>
          <w:color w:val="000000"/>
          <w:sz w:val="20"/>
          <w:szCs w:val="20"/>
          <w:u w:val="single"/>
          <w:lang w:val="nl-NL"/>
        </w:rPr>
      </w:pPr>
      <w:r w:rsidRPr="00BE757D">
        <w:rPr>
          <w:rFonts w:ascii="Arial" w:eastAsia="Arial" w:hAnsi="Arial" w:cs="Arial"/>
          <w:color w:val="000000"/>
          <w:sz w:val="20"/>
          <w:szCs w:val="20"/>
          <w:u w:val="single"/>
          <w:lang w:val="nl-NL"/>
        </w:rPr>
        <w:t xml:space="preserve">Verjaring van </w:t>
      </w:r>
      <w:r w:rsidRPr="00BE757D">
        <w:rPr>
          <w:rFonts w:ascii="Arial" w:eastAsia="Arial" w:hAnsi="Arial" w:cs="Arial"/>
          <w:color w:val="000000"/>
          <w:sz w:val="20"/>
          <w:szCs w:val="20"/>
          <w:u w:val="single"/>
          <w:lang w:val="nl-NL"/>
        </w:rPr>
        <w:t xml:space="preserve">regresvorderingen, exclusief regresvorderingen krachtens de Wet </w:t>
      </w:r>
      <w:proofErr w:type="spellStart"/>
      <w:r w:rsidRPr="00BE757D">
        <w:rPr>
          <w:rFonts w:ascii="Arial" w:eastAsia="Arial" w:hAnsi="Arial" w:cs="Arial"/>
          <w:color w:val="000000"/>
          <w:sz w:val="20"/>
          <w:szCs w:val="20"/>
          <w:u w:val="single"/>
          <w:lang w:val="nl-NL"/>
        </w:rPr>
        <w:t>Wajong</w:t>
      </w:r>
      <w:proofErr w:type="spellEnd"/>
    </w:p>
    <w:p w:rsidR="00387D1A" w:rsidRPr="00BE757D" w:rsidRDefault="00925BEE">
      <w:pPr>
        <w:spacing w:before="233" w:line="230" w:lineRule="exact"/>
        <w:ind w:right="720"/>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De verjaringstermijn vangt 1 jaar na de datum waarop het ongeval plaatsvond aan en duurt derhalve in totaal 6 jaar na datum ongeval. De verjaringstermijn zelf is en blijft 5 jaar. De ve</w:t>
      </w:r>
      <w:r w:rsidRPr="00BE757D">
        <w:rPr>
          <w:rFonts w:ascii="Arial" w:eastAsia="Arial" w:hAnsi="Arial" w:cs="Arial"/>
          <w:color w:val="000000"/>
          <w:sz w:val="20"/>
          <w:szCs w:val="20"/>
          <w:lang w:val="nl-NL"/>
        </w:rPr>
        <w:t>rjaringstermijn kan uiteraard conform de wet worden gestuit.</w:t>
      </w:r>
    </w:p>
    <w:p w:rsidR="00387D1A" w:rsidRPr="00BE757D" w:rsidRDefault="00925BEE">
      <w:pPr>
        <w:spacing w:before="230" w:line="230" w:lineRule="exact"/>
        <w:textAlignment w:val="baseline"/>
        <w:rPr>
          <w:rFonts w:ascii="Arial" w:eastAsia="Arial" w:hAnsi="Arial" w:cs="Arial"/>
          <w:color w:val="000000"/>
          <w:spacing w:val="1"/>
          <w:sz w:val="20"/>
          <w:szCs w:val="20"/>
          <w:lang w:val="nl-NL"/>
        </w:rPr>
      </w:pPr>
      <w:r w:rsidRPr="00BE757D">
        <w:rPr>
          <w:rFonts w:ascii="Arial" w:eastAsia="Arial" w:hAnsi="Arial" w:cs="Arial"/>
          <w:color w:val="000000"/>
          <w:spacing w:val="1"/>
          <w:sz w:val="20"/>
          <w:szCs w:val="20"/>
          <w:lang w:val="nl-NL"/>
        </w:rPr>
        <w:t>De verzekeraar kan met succes een beroep op verjaring van de regresvordering van UWV doen, indien er tussen het moment waarop de verzekeraar de schade middels een vaststellingsovereenkomst met de verzekerde van UWV heeft geregeld en het moment waarop UWV v</w:t>
      </w:r>
      <w:r w:rsidRPr="00BE757D">
        <w:rPr>
          <w:rFonts w:ascii="Arial" w:eastAsia="Arial" w:hAnsi="Arial" w:cs="Arial"/>
          <w:color w:val="000000"/>
          <w:spacing w:val="1"/>
          <w:sz w:val="20"/>
          <w:szCs w:val="20"/>
          <w:lang w:val="nl-NL"/>
        </w:rPr>
        <w:t>oor het eerst haar regresvordering aanhangig maakt meer dan 5 jaar zijn verstreken. De verzekeraar kan eveneens met succes een beroep op verjaring van de regresvordering van UWV doen, indien de verzekerde van UWV in het geheel geen schadevordering heeft in</w:t>
      </w:r>
      <w:r w:rsidRPr="00BE757D">
        <w:rPr>
          <w:rFonts w:ascii="Arial" w:eastAsia="Arial" w:hAnsi="Arial" w:cs="Arial"/>
          <w:color w:val="000000"/>
          <w:spacing w:val="1"/>
          <w:sz w:val="20"/>
          <w:szCs w:val="20"/>
          <w:lang w:val="nl-NL"/>
        </w:rPr>
        <w:t>gediend bij de aansprakelijkheidsverzekeraar, althans de verjaring niet gestuit heeft en er sedert de datum van het ongeval en het aanhangig maken van de regresvordering door UWV inmiddels 5 jaar zijn verstreken. Dat is conform het door de Hoge Raad geweze</w:t>
      </w:r>
      <w:r w:rsidRPr="00BE757D">
        <w:rPr>
          <w:rFonts w:ascii="Arial" w:eastAsia="Arial" w:hAnsi="Arial" w:cs="Arial"/>
          <w:color w:val="000000"/>
          <w:spacing w:val="1"/>
          <w:sz w:val="20"/>
          <w:szCs w:val="20"/>
          <w:lang w:val="nl-NL"/>
        </w:rPr>
        <w:t>n arrest van 27 januari 2007, LJN: AZ4566</w:t>
      </w:r>
    </w:p>
    <w:p w:rsidR="00387D1A" w:rsidRPr="00BE757D" w:rsidRDefault="00925BEE">
      <w:pPr>
        <w:numPr>
          <w:ilvl w:val="0"/>
          <w:numId w:val="2"/>
        </w:numPr>
        <w:spacing w:before="463" w:line="226" w:lineRule="exact"/>
        <w:ind w:left="0"/>
        <w:textAlignment w:val="baseline"/>
        <w:rPr>
          <w:rFonts w:ascii="Arial" w:eastAsia="Arial" w:hAnsi="Arial" w:cs="Arial"/>
          <w:color w:val="000000"/>
          <w:sz w:val="20"/>
          <w:szCs w:val="20"/>
          <w:u w:val="single"/>
          <w:lang w:val="nl-NL"/>
        </w:rPr>
      </w:pPr>
      <w:r w:rsidRPr="00BE757D">
        <w:rPr>
          <w:rFonts w:ascii="Arial" w:eastAsia="Arial" w:hAnsi="Arial" w:cs="Arial"/>
          <w:color w:val="000000"/>
          <w:sz w:val="20"/>
          <w:szCs w:val="20"/>
          <w:u w:val="single"/>
          <w:lang w:val="nl-NL"/>
        </w:rPr>
        <w:t xml:space="preserve">Verjaring van regresvorderingen krachtens de Wet </w:t>
      </w:r>
      <w:proofErr w:type="spellStart"/>
      <w:r w:rsidRPr="00BE757D">
        <w:rPr>
          <w:rFonts w:ascii="Arial" w:eastAsia="Arial" w:hAnsi="Arial" w:cs="Arial"/>
          <w:color w:val="000000"/>
          <w:sz w:val="20"/>
          <w:szCs w:val="20"/>
          <w:u w:val="single"/>
          <w:lang w:val="nl-NL"/>
        </w:rPr>
        <w:t>Wajong</w:t>
      </w:r>
      <w:proofErr w:type="spellEnd"/>
      <w:r w:rsidRPr="00BE757D">
        <w:rPr>
          <w:rFonts w:ascii="Arial" w:eastAsia="Arial" w:hAnsi="Arial" w:cs="Arial"/>
          <w:color w:val="000000"/>
          <w:sz w:val="20"/>
          <w:szCs w:val="20"/>
          <w:u w:val="single"/>
          <w:lang w:val="nl-NL"/>
        </w:rPr>
        <w:t xml:space="preserve"> inzake een ongeval gedateerd vóór 1  februari 2004 </w:t>
      </w:r>
    </w:p>
    <w:p w:rsidR="00387D1A" w:rsidRPr="00BE757D" w:rsidRDefault="00925BEE">
      <w:pPr>
        <w:spacing w:before="234" w:line="230" w:lineRule="exact"/>
        <w:ind w:right="144"/>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De verjaringstermijn vangt aan op de datum van de vaststellingsovereenkomst tussen de verzekerde van UWV e</w:t>
      </w:r>
      <w:r w:rsidRPr="00BE757D">
        <w:rPr>
          <w:rFonts w:ascii="Arial" w:eastAsia="Arial" w:hAnsi="Arial" w:cs="Arial"/>
          <w:color w:val="000000"/>
          <w:sz w:val="20"/>
          <w:szCs w:val="20"/>
          <w:lang w:val="nl-NL"/>
        </w:rPr>
        <w:t xml:space="preserve">n de aansprakelijkheidsverzekeraar en is gemaximeerd tot 5 jaar na aanvang van de </w:t>
      </w:r>
      <w:proofErr w:type="spellStart"/>
      <w:r w:rsidRPr="00BE757D">
        <w:rPr>
          <w:rFonts w:ascii="Arial" w:eastAsia="Arial" w:hAnsi="Arial" w:cs="Arial"/>
          <w:color w:val="000000"/>
          <w:sz w:val="20"/>
          <w:szCs w:val="20"/>
          <w:lang w:val="nl-NL"/>
        </w:rPr>
        <w:t>Wajong-uitkering</w:t>
      </w:r>
      <w:proofErr w:type="spellEnd"/>
      <w:r w:rsidRPr="00BE757D">
        <w:rPr>
          <w:rFonts w:ascii="Arial" w:eastAsia="Arial" w:hAnsi="Arial" w:cs="Arial"/>
          <w:color w:val="000000"/>
          <w:sz w:val="20"/>
          <w:szCs w:val="20"/>
          <w:lang w:val="nl-NL"/>
        </w:rPr>
        <w:t xml:space="preserve">. Voorwaarde is dat de verzekerde van UWV daadwerkelijk een </w:t>
      </w:r>
      <w:proofErr w:type="spellStart"/>
      <w:r w:rsidRPr="00BE757D">
        <w:rPr>
          <w:rFonts w:ascii="Arial" w:eastAsia="Arial" w:hAnsi="Arial" w:cs="Arial"/>
          <w:color w:val="000000"/>
          <w:sz w:val="20"/>
          <w:szCs w:val="20"/>
          <w:lang w:val="nl-NL"/>
        </w:rPr>
        <w:t>Wajong-uitkering</w:t>
      </w:r>
      <w:proofErr w:type="spellEnd"/>
      <w:r w:rsidRPr="00BE757D">
        <w:rPr>
          <w:rFonts w:ascii="Arial" w:eastAsia="Arial" w:hAnsi="Arial" w:cs="Arial"/>
          <w:color w:val="000000"/>
          <w:sz w:val="20"/>
          <w:szCs w:val="20"/>
          <w:lang w:val="nl-NL"/>
        </w:rPr>
        <w:t xml:space="preserve"> ontvangt als gevolg van het ongeval. Als de verzekerde van UWV de verjaringstermi</w:t>
      </w:r>
      <w:r w:rsidRPr="00BE757D">
        <w:rPr>
          <w:rFonts w:ascii="Arial" w:eastAsia="Arial" w:hAnsi="Arial" w:cs="Arial"/>
          <w:color w:val="000000"/>
          <w:sz w:val="20"/>
          <w:szCs w:val="20"/>
          <w:lang w:val="nl-NL"/>
        </w:rPr>
        <w:t>jn niet heeft gestuit, geldt een verjaringstermijn van 6 jaar na datum ongeval. Deze verjaringstermijn kan uiteraard conform de wet worden gestuit.</w:t>
      </w:r>
    </w:p>
    <w:p w:rsidR="00387D1A" w:rsidRPr="00BE757D" w:rsidRDefault="00925BEE">
      <w:pPr>
        <w:numPr>
          <w:ilvl w:val="0"/>
          <w:numId w:val="2"/>
        </w:numPr>
        <w:spacing w:before="694" w:line="226" w:lineRule="exact"/>
        <w:ind w:left="0" w:right="288"/>
        <w:textAlignment w:val="baseline"/>
        <w:rPr>
          <w:rFonts w:ascii="Arial" w:eastAsia="Arial" w:hAnsi="Arial" w:cs="Arial"/>
          <w:color w:val="000000"/>
          <w:sz w:val="20"/>
          <w:szCs w:val="20"/>
          <w:u w:val="single"/>
          <w:lang w:val="nl-NL"/>
        </w:rPr>
      </w:pPr>
      <w:r w:rsidRPr="00BE757D">
        <w:rPr>
          <w:rFonts w:ascii="Arial" w:eastAsia="Arial" w:hAnsi="Arial" w:cs="Arial"/>
          <w:color w:val="000000"/>
          <w:sz w:val="20"/>
          <w:szCs w:val="20"/>
          <w:u w:val="single"/>
          <w:lang w:val="nl-NL"/>
        </w:rPr>
        <w:t xml:space="preserve">Verjaring van regresvorderingen krachtens de Wet </w:t>
      </w:r>
      <w:proofErr w:type="spellStart"/>
      <w:r w:rsidRPr="00BE757D">
        <w:rPr>
          <w:rFonts w:ascii="Arial" w:eastAsia="Arial" w:hAnsi="Arial" w:cs="Arial"/>
          <w:color w:val="000000"/>
          <w:sz w:val="20"/>
          <w:szCs w:val="20"/>
          <w:u w:val="single"/>
          <w:lang w:val="nl-NL"/>
        </w:rPr>
        <w:t>Wajong</w:t>
      </w:r>
      <w:proofErr w:type="spellEnd"/>
      <w:r w:rsidRPr="00BE757D">
        <w:rPr>
          <w:rFonts w:ascii="Arial" w:eastAsia="Arial" w:hAnsi="Arial" w:cs="Arial"/>
          <w:color w:val="000000"/>
          <w:sz w:val="20"/>
          <w:szCs w:val="20"/>
          <w:u w:val="single"/>
          <w:lang w:val="nl-NL"/>
        </w:rPr>
        <w:t xml:space="preserve"> inzake een ongeval gedateerd na 1 februari 2004 </w:t>
      </w:r>
    </w:p>
    <w:p w:rsidR="00387D1A" w:rsidRPr="00BE757D" w:rsidRDefault="00925BEE">
      <w:pPr>
        <w:spacing w:before="233" w:line="230" w:lineRule="exact"/>
        <w:ind w:right="72"/>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Hee</w:t>
      </w:r>
      <w:r w:rsidRPr="00BE757D">
        <w:rPr>
          <w:rFonts w:ascii="Arial" w:eastAsia="Arial" w:hAnsi="Arial" w:cs="Arial"/>
          <w:color w:val="000000"/>
          <w:sz w:val="20"/>
          <w:szCs w:val="20"/>
          <w:lang w:val="nl-NL"/>
        </w:rPr>
        <w:t>ft het ongeval plaatsgevonden na 1 februari 2004, dan wordt onderscheid gemaakt tussen een verzekerde die meerderjarig, respectievelijk minderjarig is.</w:t>
      </w:r>
    </w:p>
    <w:p w:rsidR="00387D1A" w:rsidRPr="00BE757D" w:rsidRDefault="00925BEE">
      <w:pPr>
        <w:spacing w:before="231"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Is de verzekerde van UWV meerderjarig ten tijde van het ongeval, dan gaat de verjaringstermijn in</w:t>
      </w:r>
    </w:p>
    <w:p w:rsidR="00387D1A" w:rsidRPr="00BE757D" w:rsidRDefault="00925BEE" w:rsidP="00BE757D">
      <w:pPr>
        <w:pStyle w:val="Lijstalinea"/>
        <w:numPr>
          <w:ilvl w:val="0"/>
          <w:numId w:val="3"/>
        </w:numPr>
        <w:spacing w:before="7" w:line="225" w:lineRule="exact"/>
        <w:ind w:right="720"/>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1 jaar</w:t>
      </w:r>
      <w:r w:rsidRPr="00BE757D">
        <w:rPr>
          <w:rFonts w:ascii="Arial" w:eastAsia="Arial" w:hAnsi="Arial" w:cs="Arial"/>
          <w:color w:val="000000"/>
          <w:sz w:val="20"/>
          <w:szCs w:val="20"/>
          <w:lang w:val="nl-NL"/>
        </w:rPr>
        <w:t xml:space="preserve"> na datum ongeval, en duurt in totaal 6 jaar. Dit kan zich bijvoorbeeld voordoen als de </w:t>
      </w:r>
      <w:r w:rsidRPr="00BE757D">
        <w:rPr>
          <w:rFonts w:ascii="Arial" w:eastAsia="Arial" w:hAnsi="Arial" w:cs="Arial"/>
          <w:color w:val="000000"/>
          <w:sz w:val="20"/>
          <w:szCs w:val="20"/>
          <w:lang w:val="nl-NL"/>
        </w:rPr>
        <w:t>‘</w:t>
      </w:r>
      <w:r w:rsidRPr="00BE757D">
        <w:rPr>
          <w:rFonts w:ascii="Arial" w:eastAsia="Arial" w:hAnsi="Arial" w:cs="Arial"/>
          <w:color w:val="000000"/>
          <w:sz w:val="20"/>
          <w:szCs w:val="20"/>
          <w:lang w:val="nl-NL"/>
        </w:rPr>
        <w:t>Wajonger</w:t>
      </w:r>
      <w:r w:rsidRPr="00BE757D">
        <w:rPr>
          <w:rFonts w:ascii="Arial" w:eastAsia="Arial" w:hAnsi="Arial" w:cs="Arial"/>
          <w:color w:val="000000"/>
          <w:sz w:val="20"/>
          <w:szCs w:val="20"/>
          <w:lang w:val="nl-NL"/>
        </w:rPr>
        <w:t>’</w:t>
      </w:r>
      <w:r w:rsidRPr="00BE757D">
        <w:rPr>
          <w:rFonts w:ascii="Arial" w:eastAsia="Arial" w:hAnsi="Arial" w:cs="Arial"/>
          <w:color w:val="000000"/>
          <w:sz w:val="20"/>
          <w:szCs w:val="20"/>
          <w:vertAlign w:val="superscript"/>
          <w:lang w:val="nl-NL"/>
        </w:rPr>
        <w:t>2</w:t>
      </w:r>
      <w:r w:rsidRPr="00BE757D">
        <w:rPr>
          <w:rFonts w:ascii="Arial" w:eastAsia="Arial" w:hAnsi="Arial" w:cs="Arial"/>
          <w:color w:val="000000"/>
          <w:sz w:val="20"/>
          <w:szCs w:val="20"/>
          <w:lang w:val="nl-NL"/>
        </w:rPr>
        <w:t xml:space="preserve"> nog studeert.</w:t>
      </w:r>
    </w:p>
    <w:p w:rsidR="00387D1A" w:rsidRPr="00BE757D" w:rsidRDefault="00925BEE">
      <w:pPr>
        <w:spacing w:before="230" w:line="230" w:lineRule="exact"/>
        <w:ind w:right="144"/>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 xml:space="preserve">Als de verzekerde van UWV minderjarig is, vangt de verjaringstermijn van 5 jaar op grond van art. 3:310 lid 5 BW pas aan op het moment dat de </w:t>
      </w:r>
      <w:r w:rsidRPr="00BE757D">
        <w:rPr>
          <w:rFonts w:ascii="Arial" w:eastAsia="Arial" w:hAnsi="Arial" w:cs="Arial"/>
          <w:color w:val="000000"/>
          <w:sz w:val="20"/>
          <w:szCs w:val="20"/>
          <w:lang w:val="nl-NL"/>
        </w:rPr>
        <w:t>verzekerde van UWV meerderjarig wordt. De verjaringstermijn eindigt derhalve op de dag dat de verzekerde van UWV 23 jaar wordt.</w:t>
      </w:r>
    </w:p>
    <w:p w:rsidR="00387D1A" w:rsidRPr="00BE757D" w:rsidRDefault="00925BEE">
      <w:pPr>
        <w:spacing w:before="231" w:after="856"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Deze verjaringstermijnen kunnen uiteraard conform de wet worden gestuit.</w:t>
      </w:r>
    </w:p>
    <w:p w:rsidR="00387D1A" w:rsidRPr="00BE757D" w:rsidRDefault="00387D1A">
      <w:pPr>
        <w:spacing w:before="126" w:line="241" w:lineRule="exact"/>
        <w:textAlignment w:val="baseline"/>
        <w:rPr>
          <w:rFonts w:ascii="Arial" w:eastAsia="Verdana" w:hAnsi="Arial" w:cs="Arial"/>
          <w:color w:val="000000"/>
          <w:sz w:val="20"/>
          <w:szCs w:val="20"/>
          <w:lang w:val="nl-NL"/>
        </w:rPr>
      </w:pPr>
      <w:r w:rsidRPr="00BE757D">
        <w:rPr>
          <w:rFonts w:ascii="Arial" w:hAnsi="Arial" w:cs="Arial"/>
          <w:sz w:val="20"/>
          <w:szCs w:val="20"/>
        </w:rPr>
        <w:pict>
          <v:line id="_x0000_s1027" style="position:absolute;z-index:251658752;mso-position-horizontal-relative:page;mso-position-vertical-relative:page" from="75.9pt,755.3pt" to="220.85pt,755.3pt" strokeweight=".7pt">
            <w10:wrap anchorx="page" anchory="page"/>
          </v:line>
        </w:pict>
      </w:r>
      <w:r w:rsidR="00925BEE" w:rsidRPr="00BE757D">
        <w:rPr>
          <w:rFonts w:ascii="Arial" w:eastAsia="Verdana" w:hAnsi="Arial" w:cs="Arial"/>
          <w:color w:val="000000"/>
          <w:sz w:val="20"/>
          <w:szCs w:val="20"/>
          <w:lang w:val="nl-NL"/>
        </w:rPr>
        <w:t xml:space="preserve">2 </w:t>
      </w:r>
      <w:r w:rsidR="00925BEE" w:rsidRPr="00BE757D">
        <w:rPr>
          <w:rFonts w:ascii="Arial" w:eastAsia="Verdana" w:hAnsi="Arial" w:cs="Arial"/>
          <w:color w:val="000000"/>
          <w:sz w:val="20"/>
          <w:szCs w:val="20"/>
          <w:lang w:val="nl-NL"/>
        </w:rPr>
        <w:t>Met de term ‘</w:t>
      </w:r>
      <w:proofErr w:type="spellStart"/>
      <w:r w:rsidR="00925BEE" w:rsidRPr="00BE757D">
        <w:rPr>
          <w:rFonts w:ascii="Arial" w:eastAsia="Verdana" w:hAnsi="Arial" w:cs="Arial"/>
          <w:i/>
          <w:color w:val="000000"/>
          <w:sz w:val="20"/>
          <w:szCs w:val="20"/>
          <w:lang w:val="nl-NL"/>
        </w:rPr>
        <w:t>Wajonger</w:t>
      </w:r>
      <w:proofErr w:type="spellEnd"/>
      <w:r w:rsidR="00925BEE" w:rsidRPr="00BE757D">
        <w:rPr>
          <w:rFonts w:ascii="Arial" w:eastAsia="Verdana" w:hAnsi="Arial" w:cs="Arial"/>
          <w:color w:val="000000"/>
          <w:sz w:val="20"/>
          <w:szCs w:val="20"/>
          <w:lang w:val="nl-NL"/>
        </w:rPr>
        <w:t xml:space="preserve">’ </w:t>
      </w:r>
      <w:r w:rsidR="00925BEE" w:rsidRPr="00BE757D">
        <w:rPr>
          <w:rFonts w:ascii="Arial" w:eastAsia="Verdana" w:hAnsi="Arial" w:cs="Arial"/>
          <w:color w:val="000000"/>
          <w:sz w:val="20"/>
          <w:szCs w:val="20"/>
          <w:lang w:val="nl-NL"/>
        </w:rPr>
        <w:t xml:space="preserve">wordt diegene bedoeld, die een uitkering krachtens de Wet </w:t>
      </w:r>
      <w:proofErr w:type="spellStart"/>
      <w:r w:rsidR="00925BEE" w:rsidRPr="00BE757D">
        <w:rPr>
          <w:rFonts w:ascii="Arial" w:eastAsia="Verdana" w:hAnsi="Arial" w:cs="Arial"/>
          <w:color w:val="000000"/>
          <w:sz w:val="20"/>
          <w:szCs w:val="20"/>
          <w:lang w:val="nl-NL"/>
        </w:rPr>
        <w:t>Wajong</w:t>
      </w:r>
      <w:proofErr w:type="spellEnd"/>
      <w:r w:rsidR="00925BEE" w:rsidRPr="00BE757D">
        <w:rPr>
          <w:rFonts w:ascii="Arial" w:eastAsia="Verdana" w:hAnsi="Arial" w:cs="Arial"/>
          <w:color w:val="000000"/>
          <w:sz w:val="20"/>
          <w:szCs w:val="20"/>
          <w:lang w:val="nl-NL"/>
        </w:rPr>
        <w:t xml:space="preserve"> geniet</w:t>
      </w:r>
    </w:p>
    <w:p w:rsidR="00387D1A" w:rsidRPr="00BE757D" w:rsidRDefault="00387D1A">
      <w:pPr>
        <w:rPr>
          <w:rFonts w:ascii="Arial" w:hAnsi="Arial" w:cs="Arial"/>
          <w:sz w:val="20"/>
          <w:szCs w:val="20"/>
          <w:lang w:val="nl-NL"/>
        </w:rPr>
        <w:sectPr w:rsidR="00387D1A" w:rsidRPr="00BE757D">
          <w:pgSz w:w="11904" w:h="16838"/>
          <w:pgMar w:top="700" w:right="1566" w:bottom="855" w:left="1518" w:header="720" w:footer="720" w:gutter="0"/>
          <w:cols w:space="708"/>
        </w:sectPr>
      </w:pPr>
    </w:p>
    <w:p w:rsidR="00387D1A" w:rsidRPr="00BE757D" w:rsidRDefault="00387D1A">
      <w:pPr>
        <w:spacing w:before="5" w:line="221" w:lineRule="exact"/>
        <w:textAlignment w:val="baseline"/>
        <w:rPr>
          <w:rFonts w:ascii="Arial" w:eastAsia="Verdana" w:hAnsi="Arial" w:cs="Arial"/>
          <w:color w:val="000000"/>
          <w:sz w:val="20"/>
          <w:szCs w:val="20"/>
          <w:lang w:val="nl-NL"/>
        </w:rPr>
      </w:pPr>
      <w:r w:rsidRPr="00BE757D">
        <w:rPr>
          <w:rFonts w:ascii="Arial" w:hAnsi="Arial" w:cs="Arial"/>
          <w:sz w:val="20"/>
          <w:szCs w:val="20"/>
        </w:rPr>
        <w:lastRenderedPageBreak/>
        <w:pict>
          <v:shape id="_x0000_s1026" type="#_x0000_t202" style="position:absolute;margin-left:508.4pt;margin-top:779.35pt;width:14.45pt;height:13.25pt;z-index:-251648512;mso-wrap-distance-left:0;mso-wrap-distance-right:0;mso-position-horizontal-relative:page;mso-position-vertical-relative:page" filled="f" stroked="f">
            <v:textbox inset="0,0,0,0">
              <w:txbxContent>
                <w:p w:rsidR="00387D1A" w:rsidRDefault="00925BEE">
                  <w:pPr>
                    <w:spacing w:line="253" w:lineRule="exact"/>
                    <w:textAlignment w:val="baseline"/>
                    <w:rPr>
                      <w:rFonts w:eastAsia="Times New Roman"/>
                      <w:color w:val="000000"/>
                      <w:sz w:val="23"/>
                      <w:lang w:val="nl-NL"/>
                    </w:rPr>
                  </w:pPr>
                  <w:r>
                    <w:rPr>
                      <w:rFonts w:eastAsia="Times New Roman"/>
                      <w:color w:val="000000"/>
                      <w:sz w:val="23"/>
                      <w:lang w:val="nl-NL"/>
                    </w:rPr>
                    <w:t>3</w:t>
                  </w:r>
                </w:p>
              </w:txbxContent>
            </v:textbox>
            <w10:wrap type="square" anchorx="page" anchory="page"/>
          </v:shape>
        </w:pict>
      </w:r>
      <w:r w:rsidR="00925BEE" w:rsidRPr="00BE757D">
        <w:rPr>
          <w:rFonts w:ascii="Arial" w:eastAsia="Verdana" w:hAnsi="Arial" w:cs="Arial"/>
          <w:color w:val="000000"/>
          <w:sz w:val="20"/>
          <w:szCs w:val="20"/>
          <w:lang w:val="nl-NL"/>
        </w:rPr>
        <w:t>Toelichting Convenant Verjaring</w:t>
      </w:r>
    </w:p>
    <w:p w:rsidR="00387D1A" w:rsidRPr="00BE757D" w:rsidRDefault="00925BEE">
      <w:pPr>
        <w:spacing w:before="656" w:line="231"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2. Het niet gebruiken veiligheidsgordel</w:t>
      </w:r>
    </w:p>
    <w:p w:rsidR="00387D1A" w:rsidRPr="00BE757D" w:rsidRDefault="00925BEE">
      <w:pPr>
        <w:spacing w:before="234" w:line="229" w:lineRule="exact"/>
        <w:ind w:right="72"/>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UWV heeft met de meeste verzekeraars bilaterale afspraken gemaakt over de toepassing van een korting van 25% ingeval er sprake is van een partiële eigen schuld van de verzekerde van UWV doordat deze zijn gordel niet heeft gedragen, terwijl dat wel verplich</w:t>
      </w:r>
      <w:r w:rsidRPr="00BE757D">
        <w:rPr>
          <w:rFonts w:ascii="Arial" w:eastAsia="Arial" w:hAnsi="Arial" w:cs="Arial"/>
          <w:color w:val="000000"/>
          <w:sz w:val="20"/>
          <w:szCs w:val="20"/>
          <w:lang w:val="nl-NL"/>
        </w:rPr>
        <w:t>t was. Partijen geven er de voorkeur aan dit in een algemene regeling op te nemen.</w:t>
      </w:r>
    </w:p>
    <w:p w:rsidR="00387D1A" w:rsidRPr="00BE757D" w:rsidRDefault="00925BEE">
      <w:pPr>
        <w:spacing w:line="229" w:lineRule="exact"/>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Er kunnen zich echter situaties voordoen, waarin een verzekeraar goede gronden meent te hebben, om van deze vaste afspraak af te wijken.</w:t>
      </w:r>
    </w:p>
    <w:p w:rsidR="00387D1A" w:rsidRPr="00BE757D" w:rsidRDefault="00925BEE">
      <w:pPr>
        <w:spacing w:before="234" w:line="230" w:lineRule="exact"/>
        <w:ind w:right="72"/>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Hoofdregel is: “Ingeval vaststaa</w:t>
      </w:r>
      <w:r w:rsidRPr="00BE757D">
        <w:rPr>
          <w:rFonts w:ascii="Arial" w:eastAsia="Arial" w:hAnsi="Arial" w:cs="Arial"/>
          <w:color w:val="000000"/>
          <w:sz w:val="20"/>
          <w:szCs w:val="20"/>
          <w:lang w:val="nl-NL"/>
        </w:rPr>
        <w:t>t da</w:t>
      </w:r>
      <w:r w:rsidRPr="00BE757D">
        <w:rPr>
          <w:rFonts w:ascii="Arial" w:eastAsia="Arial" w:hAnsi="Arial" w:cs="Arial"/>
          <w:color w:val="000000"/>
          <w:sz w:val="20"/>
          <w:szCs w:val="20"/>
          <w:lang w:val="nl-NL"/>
        </w:rPr>
        <w:t xml:space="preserve">t de verzekerde van UWV, die een gordelplicht heeft, de gordel niet heeft gedragen, wordt een reductie op de regresvordering van 25% </w:t>
      </w:r>
      <w:r w:rsidRPr="00BE757D">
        <w:rPr>
          <w:rFonts w:ascii="Arial" w:eastAsia="Arial" w:hAnsi="Arial" w:cs="Arial"/>
          <w:color w:val="000000"/>
          <w:sz w:val="20"/>
          <w:szCs w:val="20"/>
          <w:lang w:val="nl-NL"/>
        </w:rPr>
        <w:t>toegepast”.</w:t>
      </w:r>
    </w:p>
    <w:p w:rsidR="00387D1A" w:rsidRPr="00BE757D" w:rsidRDefault="00925BEE">
      <w:pPr>
        <w:spacing w:before="230" w:line="230" w:lineRule="exact"/>
        <w:ind w:right="72"/>
        <w:jc w:val="both"/>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Voor die gevallen waarin het duidelijk is dat het letsel niet zou zijn ontstaan als de gordel gedragen was en b</w:t>
      </w:r>
      <w:r w:rsidRPr="00BE757D">
        <w:rPr>
          <w:rFonts w:ascii="Arial" w:eastAsia="Arial" w:hAnsi="Arial" w:cs="Arial"/>
          <w:color w:val="000000"/>
          <w:sz w:val="20"/>
          <w:szCs w:val="20"/>
          <w:lang w:val="nl-NL"/>
        </w:rPr>
        <w:t xml:space="preserve">ovendien een goed werkende gordel aanwezig was </w:t>
      </w:r>
      <w:proofErr w:type="spellStart"/>
      <w:r w:rsidRPr="00BE757D">
        <w:rPr>
          <w:rFonts w:ascii="Arial" w:eastAsia="Arial" w:hAnsi="Arial" w:cs="Arial"/>
          <w:color w:val="000000"/>
          <w:sz w:val="20"/>
          <w:szCs w:val="20"/>
          <w:lang w:val="nl-NL"/>
        </w:rPr>
        <w:t>én</w:t>
      </w:r>
      <w:proofErr w:type="spellEnd"/>
      <w:r w:rsidRPr="00BE757D">
        <w:rPr>
          <w:rFonts w:ascii="Arial" w:eastAsia="Arial" w:hAnsi="Arial" w:cs="Arial"/>
          <w:color w:val="000000"/>
          <w:sz w:val="20"/>
          <w:szCs w:val="20"/>
          <w:lang w:val="nl-NL"/>
        </w:rPr>
        <w:t xml:space="preserve"> de verzekerde van UWV verplicht was deze te gebruiken kunnen partijen op gemotiveerd verzoek van de betrokken verzekeraar een andere reductie toepassen.</w:t>
      </w:r>
    </w:p>
    <w:p w:rsidR="00387D1A" w:rsidRPr="00BE757D" w:rsidRDefault="00925BEE">
      <w:pPr>
        <w:spacing w:before="683" w:line="231"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3. Ingangsdatum, looptijd en toepassing</w:t>
      </w:r>
    </w:p>
    <w:p w:rsidR="00387D1A" w:rsidRPr="00BE757D" w:rsidRDefault="00925BEE">
      <w:pPr>
        <w:spacing w:before="235"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Dit c</w:t>
      </w:r>
      <w:r w:rsidRPr="00BE757D">
        <w:rPr>
          <w:rFonts w:ascii="Arial" w:eastAsia="Arial" w:hAnsi="Arial" w:cs="Arial"/>
          <w:color w:val="000000"/>
          <w:sz w:val="20"/>
          <w:szCs w:val="20"/>
          <w:lang w:val="nl-NL"/>
        </w:rPr>
        <w:t xml:space="preserve">onvenant vangt aan op datum ondertekening en geldt voor alle nog niet definitief afgehandelde zaken waarin door de verzekeraar een beroep is gedaan op verjaring ex art. 3:310 BW en/of een beroep is gedaan op een gordelreductie en/of een van een in artikel </w:t>
      </w:r>
      <w:r w:rsidRPr="00BE757D">
        <w:rPr>
          <w:rFonts w:ascii="Arial" w:eastAsia="Arial" w:hAnsi="Arial" w:cs="Arial"/>
          <w:color w:val="000000"/>
          <w:sz w:val="20"/>
          <w:szCs w:val="20"/>
          <w:lang w:val="nl-NL"/>
        </w:rPr>
        <w:t>2 vermeld afwijkend percentage, en voor nieuwe zaken. Reeds afgehandelde dossiers tussen betrokken verzekeraars en het UWV vallen niet onder dit convenant.</w:t>
      </w:r>
    </w:p>
    <w:p w:rsidR="00387D1A" w:rsidRPr="00BE757D" w:rsidRDefault="00925BEE">
      <w:pPr>
        <w:spacing w:before="231" w:line="230" w:lineRule="exact"/>
        <w:ind w:right="1224"/>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De regeling, vermeld onder artikel 1, is speciaal bedoeld voor die zaken waarvoor een verjaringsverw</w:t>
      </w:r>
      <w:r w:rsidRPr="00BE757D">
        <w:rPr>
          <w:rFonts w:ascii="Arial" w:eastAsia="Arial" w:hAnsi="Arial" w:cs="Arial"/>
          <w:color w:val="000000"/>
          <w:sz w:val="20"/>
          <w:szCs w:val="20"/>
          <w:lang w:val="nl-NL"/>
        </w:rPr>
        <w:t>eer door een verzekeraar is ingeroepen.</w:t>
      </w:r>
    </w:p>
    <w:p w:rsidR="00387D1A" w:rsidRPr="00BE757D" w:rsidRDefault="00925BEE">
      <w:pPr>
        <w:spacing w:before="227" w:line="230" w:lineRule="exact"/>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Daar waar er nog discussie is over de in dit convenant genoemde punten, wordt het dossier conform het bepaalde in dit convenant afgehandeld. Daar waar geen discussie is, of is geweest, mag geen discussie ontstaan doo</w:t>
      </w:r>
      <w:r w:rsidRPr="00BE757D">
        <w:rPr>
          <w:rFonts w:ascii="Arial" w:eastAsia="Arial" w:hAnsi="Arial" w:cs="Arial"/>
          <w:color w:val="000000"/>
          <w:sz w:val="20"/>
          <w:szCs w:val="20"/>
          <w:lang w:val="nl-NL"/>
        </w:rPr>
        <w:t>r dit convenant, anders gezegd: gedane zaken nemen geen keer.</w:t>
      </w:r>
    </w:p>
    <w:p w:rsidR="00387D1A" w:rsidRPr="00BE757D" w:rsidRDefault="00925BEE">
      <w:pPr>
        <w:spacing w:before="688" w:line="231" w:lineRule="exact"/>
        <w:textAlignment w:val="baseline"/>
        <w:rPr>
          <w:rFonts w:ascii="Arial" w:eastAsia="Arial" w:hAnsi="Arial" w:cs="Arial"/>
          <w:b/>
          <w:color w:val="000000"/>
          <w:sz w:val="20"/>
          <w:szCs w:val="20"/>
          <w:lang w:val="nl-NL"/>
        </w:rPr>
      </w:pPr>
      <w:r w:rsidRPr="00BE757D">
        <w:rPr>
          <w:rFonts w:ascii="Arial" w:eastAsia="Arial" w:hAnsi="Arial" w:cs="Arial"/>
          <w:b/>
          <w:color w:val="000000"/>
          <w:sz w:val="20"/>
          <w:szCs w:val="20"/>
          <w:lang w:val="nl-NL"/>
        </w:rPr>
        <w:t>Artikel 4. Wetswijziging en veranderde jurisprudentie</w:t>
      </w:r>
    </w:p>
    <w:p w:rsidR="00387D1A" w:rsidRPr="00BE757D" w:rsidRDefault="00925BEE">
      <w:pPr>
        <w:spacing w:before="232" w:line="230" w:lineRule="exact"/>
        <w:ind w:right="72"/>
        <w:textAlignment w:val="baseline"/>
        <w:rPr>
          <w:rFonts w:ascii="Arial" w:eastAsia="Arial" w:hAnsi="Arial" w:cs="Arial"/>
          <w:color w:val="000000"/>
          <w:sz w:val="20"/>
          <w:szCs w:val="20"/>
          <w:lang w:val="nl-NL"/>
        </w:rPr>
      </w:pPr>
      <w:r w:rsidRPr="00BE757D">
        <w:rPr>
          <w:rFonts w:ascii="Arial" w:eastAsia="Arial" w:hAnsi="Arial" w:cs="Arial"/>
          <w:color w:val="000000"/>
          <w:sz w:val="20"/>
          <w:szCs w:val="20"/>
          <w:lang w:val="nl-NL"/>
        </w:rPr>
        <w:t>Mede in verband met de onder artikel 4 opgenomen looptijd is in het convenant een bepaling opgenomen, dat partijen deelname aan het convenan</w:t>
      </w:r>
      <w:r w:rsidRPr="00BE757D">
        <w:rPr>
          <w:rFonts w:ascii="Arial" w:eastAsia="Arial" w:hAnsi="Arial" w:cs="Arial"/>
          <w:color w:val="000000"/>
          <w:sz w:val="20"/>
          <w:szCs w:val="20"/>
          <w:lang w:val="nl-NL"/>
        </w:rPr>
        <w:t xml:space="preserve">t kunnen beëindigen indien sprake is van een relevante wetswijziging of relevante jurisprudentie van de Hoge Raad op de onderwerpen die in dit </w:t>
      </w:r>
      <w:r w:rsidRPr="00BE757D">
        <w:rPr>
          <w:rFonts w:ascii="Arial" w:eastAsia="Arial" w:hAnsi="Arial" w:cs="Arial"/>
          <w:color w:val="000000"/>
          <w:sz w:val="20"/>
          <w:szCs w:val="20"/>
          <w:lang w:val="nl-NL"/>
        </w:rPr>
        <w:t>convenant zijn geregeld. Uiteraard geldt ook dan dat “gedane zaken”geen keer nemen.</w:t>
      </w:r>
    </w:p>
    <w:sectPr w:rsidR="00387D1A" w:rsidRPr="00BE757D" w:rsidSect="00387D1A">
      <w:pgSz w:w="11904" w:h="16838"/>
      <w:pgMar w:top="700" w:right="1553" w:bottom="855" w:left="1531" w:header="720" w:footer="720"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2430"/>
    <w:multiLevelType w:val="hybridMultilevel"/>
    <w:tmpl w:val="ED9AE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536698D"/>
    <w:multiLevelType w:val="multilevel"/>
    <w:tmpl w:val="21088570"/>
    <w:lvl w:ilvl="0">
      <w:start w:val="1"/>
      <w:numFmt w:val="upperLetter"/>
      <w:lvlText w:val="%1."/>
      <w:lvlJc w:val="left"/>
      <w:pPr>
        <w:tabs>
          <w:tab w:val="decimal" w:pos="288"/>
        </w:tabs>
        <w:ind w:left="720"/>
      </w:pPr>
      <w:rPr>
        <w:rFonts w:ascii="Arial" w:eastAsia="Arial" w:hAnsi="Arial"/>
        <w:strike w:val="0"/>
        <w:color w:val="000000"/>
        <w:spacing w:val="0"/>
        <w:w w:val="100"/>
        <w:sz w:val="20"/>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F40AF3"/>
    <w:multiLevelType w:val="multilevel"/>
    <w:tmpl w:val="DB921F42"/>
    <w:lvl w:ilvl="0">
      <w:start w:val="1"/>
      <w:numFmt w:val="upperLetter"/>
      <w:lvlText w:val="%1."/>
      <w:lvlJc w:val="left"/>
      <w:pPr>
        <w:tabs>
          <w:tab w:val="decimal" w:pos="432"/>
        </w:tabs>
        <w:ind w:left="720"/>
      </w:pPr>
      <w:rPr>
        <w:rFonts w:ascii="Arial" w:eastAsia="Arial" w:hAnsi="Arial"/>
        <w:strike w:val="0"/>
        <w:color w:val="000000"/>
        <w:spacing w:val="-5"/>
        <w:w w:val="100"/>
        <w:sz w:val="21"/>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applyBreakingRules/>
    <w:useFELayout/>
  </w:compat>
  <w:rsids>
    <w:rsidRoot w:val="00387D1A"/>
    <w:rsid w:val="00387D1A"/>
    <w:rsid w:val="00925BEE"/>
    <w:rsid w:val="00BE757D"/>
    <w:rsid w:val="00F03E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E757D"/>
    <w:rPr>
      <w:rFonts w:ascii="Tahoma" w:hAnsi="Tahoma" w:cs="Tahoma"/>
      <w:sz w:val="16"/>
      <w:szCs w:val="16"/>
    </w:rPr>
  </w:style>
  <w:style w:type="character" w:customStyle="1" w:styleId="BallontekstChar">
    <w:name w:val="Ballontekst Char"/>
    <w:basedOn w:val="Standaardalinea-lettertype"/>
    <w:link w:val="Ballontekst"/>
    <w:uiPriority w:val="99"/>
    <w:semiHidden/>
    <w:rsid w:val="00BE757D"/>
    <w:rPr>
      <w:rFonts w:ascii="Tahoma" w:hAnsi="Tahoma" w:cs="Tahoma"/>
      <w:sz w:val="16"/>
      <w:szCs w:val="16"/>
    </w:rPr>
  </w:style>
  <w:style w:type="paragraph" w:styleId="Lijstalinea">
    <w:name w:val="List Paragraph"/>
    <w:basedOn w:val="Standaard"/>
    <w:uiPriority w:val="34"/>
    <w:qFormat/>
    <w:rsid w:val="00BE757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2416</Words>
  <Characters>13290</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Visser</cp:lastModifiedBy>
  <cp:revision>2</cp:revision>
  <dcterms:created xsi:type="dcterms:W3CDTF">2013-05-08T06:45:00Z</dcterms:created>
  <dcterms:modified xsi:type="dcterms:W3CDTF">2013-05-08T09:37:00Z</dcterms:modified>
</cp:coreProperties>
</file>